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4A" w:rsidRDefault="009D2E10" w:rsidP="002479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9D2E10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9D2E10">
        <w:rPr>
          <w:rFonts w:ascii="Times New Roman" w:hAnsi="Times New Roman" w:cs="Times New Roman"/>
          <w:b/>
          <w:bCs/>
          <w:sz w:val="28"/>
          <w:szCs w:val="28"/>
        </w:rPr>
        <w:t xml:space="preserve"> умов </w:t>
      </w:r>
      <w:proofErr w:type="spellStart"/>
      <w:r w:rsidRPr="009D2E10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9D2E1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9D2E10">
        <w:rPr>
          <w:rFonts w:ascii="Times New Roman" w:hAnsi="Times New Roman" w:cs="Times New Roman"/>
          <w:b/>
          <w:bCs/>
          <w:sz w:val="28"/>
          <w:szCs w:val="28"/>
        </w:rPr>
        <w:t>робочому</w:t>
      </w:r>
      <w:proofErr w:type="spellEnd"/>
      <w:r w:rsidRPr="009D2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2E10">
        <w:rPr>
          <w:rFonts w:ascii="Times New Roman" w:hAnsi="Times New Roman" w:cs="Times New Roman"/>
          <w:b/>
          <w:bCs/>
          <w:sz w:val="28"/>
          <w:szCs w:val="28"/>
        </w:rPr>
        <w:t>місці</w:t>
      </w:r>
      <w:proofErr w:type="spellEnd"/>
      <w:r w:rsidRPr="009D2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2E10">
        <w:rPr>
          <w:rFonts w:ascii="Times New Roman" w:hAnsi="Times New Roman" w:cs="Times New Roman"/>
          <w:b/>
          <w:bCs/>
          <w:sz w:val="28"/>
          <w:szCs w:val="28"/>
        </w:rPr>
        <w:t>користувача</w:t>
      </w:r>
      <w:proofErr w:type="spellEnd"/>
      <w:r w:rsidRPr="009D2E10">
        <w:rPr>
          <w:rFonts w:ascii="Times New Roman" w:hAnsi="Times New Roman" w:cs="Times New Roman"/>
          <w:b/>
          <w:bCs/>
          <w:sz w:val="28"/>
          <w:szCs w:val="28"/>
        </w:rPr>
        <w:t xml:space="preserve"> ПК</w:t>
      </w:r>
    </w:p>
    <w:p w:rsidR="009D2E10" w:rsidRPr="009F42DB" w:rsidRDefault="009D2E10" w:rsidP="002B223C">
      <w:pPr>
        <w:shd w:val="clear" w:color="auto" w:fill="FFFFFF"/>
        <w:spacing w:before="185" w:after="1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Мікрокліматом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називати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сукупність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безпосередньо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впливають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комфорт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бування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приміщенні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входять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B223C" w:rsidRPr="009F42DB">
        <w:rPr>
          <w:sz w:val="24"/>
          <w:szCs w:val="24"/>
        </w:rPr>
        <w:t xml:space="preserve"> </w:t>
      </w:r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температура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температура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поверхонь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відносна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вологість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швидкість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руху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інтенсивність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теплового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опромінення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вмі</w:t>
      </w:r>
      <w:proofErr w:type="gram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proofErr w:type="gram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СО2 та </w:t>
      </w:r>
      <w:proofErr w:type="spellStart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повітрообміну</w:t>
      </w:r>
      <w:proofErr w:type="spellEnd"/>
    </w:p>
    <w:p w:rsidR="009D2E10" w:rsidRPr="009F42DB" w:rsidRDefault="009D2E10" w:rsidP="009D2E10">
      <w:pPr>
        <w:shd w:val="clear" w:color="auto" w:fill="FFFFFF"/>
        <w:spacing w:before="185" w:after="185" w:line="240" w:lineRule="auto"/>
        <w:outlineLvl w:val="1"/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Основні</w:t>
      </w:r>
      <w:proofErr w:type="spellEnd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види</w:t>
      </w:r>
      <w:proofErr w:type="spellEnd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м</w:t>
      </w:r>
      <w:proofErr w:type="gramEnd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ікроклімату</w:t>
      </w:r>
      <w:proofErr w:type="spellEnd"/>
    </w:p>
    <w:p w:rsidR="009D2E10" w:rsidRPr="009F42DB" w:rsidRDefault="009D2E10" w:rsidP="002B223C">
      <w:pPr>
        <w:shd w:val="clear" w:color="auto" w:fill="FFFFFF"/>
        <w:spacing w:before="185" w:after="1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охарактеризувати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мікроклімат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ізних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типах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приміщень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ділити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два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основних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2E10" w:rsidRPr="009F42DB" w:rsidRDefault="009D2E10" w:rsidP="002B223C">
      <w:pPr>
        <w:numPr>
          <w:ilvl w:val="0"/>
          <w:numId w:val="7"/>
        </w:numPr>
        <w:shd w:val="clear" w:color="auto" w:fill="FFFFFF"/>
        <w:spacing w:before="185" w:after="18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Динамічний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Передбачає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можливість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швидкої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параметрі</w:t>
      </w:r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сторонні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чинники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E10" w:rsidRPr="009F42DB" w:rsidRDefault="009D2E10" w:rsidP="002B223C">
      <w:pPr>
        <w:numPr>
          <w:ilvl w:val="0"/>
          <w:numId w:val="7"/>
        </w:numPr>
        <w:shd w:val="clear" w:color="auto" w:fill="FFFFFF"/>
        <w:spacing w:before="185" w:after="18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Монотонний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Спостерігається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приміщеннях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здатних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привести до </w:t>
      </w:r>
      <w:proofErr w:type="spellStart"/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ізких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E10" w:rsidRPr="009F42DB" w:rsidRDefault="009D2E10" w:rsidP="002B223C">
      <w:pPr>
        <w:shd w:val="clear" w:color="auto" w:fill="FFFFFF"/>
        <w:spacing w:before="185" w:after="1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класифікація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мікроклімату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включає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категорії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як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впливає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організм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2E10" w:rsidRPr="009F42DB" w:rsidRDefault="009D2E10" w:rsidP="009D2E10">
      <w:pPr>
        <w:numPr>
          <w:ilvl w:val="0"/>
          <w:numId w:val="8"/>
        </w:numPr>
        <w:shd w:val="clear" w:color="auto" w:fill="FFFFFF"/>
        <w:spacing w:before="185" w:after="185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комфортний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2E10" w:rsidRPr="009F42DB" w:rsidRDefault="009D2E10" w:rsidP="009D2E10">
      <w:pPr>
        <w:numPr>
          <w:ilvl w:val="0"/>
          <w:numId w:val="8"/>
        </w:numPr>
        <w:shd w:val="clear" w:color="auto" w:fill="FFFFFF"/>
        <w:spacing w:before="185" w:after="185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нагріваючий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2E10" w:rsidRPr="009F42DB" w:rsidRDefault="009D2E10" w:rsidP="009D2E10">
      <w:pPr>
        <w:numPr>
          <w:ilvl w:val="0"/>
          <w:numId w:val="8"/>
        </w:numPr>
        <w:shd w:val="clear" w:color="auto" w:fill="FFFFFF"/>
        <w:spacing w:before="185" w:after="185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охолоджуючий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E10" w:rsidRPr="009F42DB" w:rsidRDefault="009D2E10" w:rsidP="002B223C">
      <w:pPr>
        <w:shd w:val="clear" w:color="auto" w:fill="FFFFFF"/>
        <w:spacing w:before="185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Оптимальні</w:t>
      </w:r>
      <w:proofErr w:type="spellEnd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 xml:space="preserve"> </w:t>
      </w:r>
      <w:r w:rsidR="002B223C"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uk-UA"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параметри</w:t>
      </w:r>
      <w:proofErr w:type="spellEnd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 xml:space="preserve"> </w:t>
      </w:r>
      <w:r w:rsidR="002B223C"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val="uk-UA" w:eastAsia="ru-RU"/>
        </w:rPr>
        <w:t xml:space="preserve">  </w:t>
      </w:r>
      <w:proofErr w:type="spellStart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мікроклімату</w:t>
      </w:r>
      <w:proofErr w:type="spellEnd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 xml:space="preserve"> для </w:t>
      </w:r>
      <w:proofErr w:type="spellStart"/>
      <w:r w:rsidRPr="009F42DB"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  <w:lang w:eastAsia="ru-RU"/>
        </w:rPr>
        <w:t>людини</w:t>
      </w:r>
      <w:proofErr w:type="spellEnd"/>
    </w:p>
    <w:p w:rsidR="009D2E10" w:rsidRPr="009F42DB" w:rsidRDefault="009D2E10" w:rsidP="002B223C">
      <w:pPr>
        <w:shd w:val="clear" w:color="auto" w:fill="FFFFFF"/>
        <w:spacing w:before="18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4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</w:t>
      </w:r>
    </w:p>
    <w:p w:rsidR="009D2E10" w:rsidRPr="009F42DB" w:rsidRDefault="009D2E10" w:rsidP="002B22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залежності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приміщення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пори року, </w:t>
      </w:r>
      <w:proofErr w:type="spellStart"/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змінюватися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Так, в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літню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пору року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ідтримувати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термометра в межах 23-25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градусів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комфортним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нормальної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життєдіяльності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людини.</w:t>
      </w:r>
      <w:proofErr w:type="spellEnd"/>
      <w:r w:rsidR="002B223C"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приходом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холодів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починає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пристосовуватися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низьких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температур, тому нормою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20-22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нуля.</w:t>
      </w:r>
    </w:p>
    <w:p w:rsidR="009D2E10" w:rsidRPr="009F42DB" w:rsidRDefault="009D2E10" w:rsidP="002B223C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Вологість</w:t>
      </w:r>
      <w:proofErr w:type="spellEnd"/>
      <w:r w:rsidRPr="009F4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повітря</w:t>
      </w:r>
      <w:proofErr w:type="spellEnd"/>
    </w:p>
    <w:p w:rsidR="009D2E10" w:rsidRPr="009F42DB" w:rsidRDefault="009D2E10" w:rsidP="002B22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вологості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чому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залежить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відчуття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навколишнього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Тому вона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теж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повинна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змінюватися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ідлаштовуючись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поточну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пору року.</w:t>
      </w:r>
    </w:p>
    <w:p w:rsidR="009D2E10" w:rsidRPr="009F42DB" w:rsidRDefault="009D2E10" w:rsidP="002B22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</w:t>
      </w:r>
      <w:proofErr w:type="spellStart"/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ітку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допускається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30-60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взимку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планка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залишається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такою ж, а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повинна бути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знижена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45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223C" w:rsidRPr="009F42DB" w:rsidRDefault="009D2E10" w:rsidP="002B223C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proofErr w:type="gramStart"/>
      <w:r w:rsidRPr="009F4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Якість</w:t>
      </w:r>
      <w:proofErr w:type="spellEnd"/>
      <w:r w:rsidRPr="009F4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повітря</w:t>
      </w:r>
      <w:proofErr w:type="spellEnd"/>
      <w:proofErr w:type="gramEnd"/>
    </w:p>
    <w:p w:rsidR="009D2E10" w:rsidRPr="009F42DB" w:rsidRDefault="009D2E10" w:rsidP="002B223C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ізних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встановлюються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залежності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працівниками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засоби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індивідуального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єдиний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стандарт,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стосується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швидкості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руху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Так, в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літню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пору року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допускається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переміщення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повітряних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швидкістю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0,25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метрів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секунду,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взимку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даний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повинен бути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знижений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0,15 </w:t>
      </w:r>
      <w:proofErr w:type="spellStart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метрів</w:t>
      </w:r>
      <w:proofErr w:type="spellEnd"/>
      <w:r w:rsidRPr="009F4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секунду.</w:t>
      </w:r>
    </w:p>
    <w:p w:rsidR="002479BD" w:rsidRPr="009F42DB" w:rsidRDefault="00E10AFF" w:rsidP="002479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  <w:r w:rsidR="00850776" w:rsidRPr="009F42D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Приміщення  </w:t>
      </w:r>
      <w:r w:rsidR="002479BD" w:rsidRPr="009F42D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повинні добре освітлюватися сонячними променями та мати гарне штучне освітлення</w:t>
      </w:r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>. Правильне і раціональне освітлення приміщення покращує зорову функцію очей людини, підвищує її життєвий тонус. Гарне природне освітлення приміщень великою мірою залежить від чистоти вікон. Чисте віконне скло затри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мує 10-15% світла, забруднене - </w:t>
      </w:r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15 - 50%, замерзле - до 80%. Тому так важливо регулярно мити </w:t>
      </w:r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віконне скло, очищувати його від пилу, бруду, льоду та снігу, не заставляти світлових отворів тощо.</w:t>
      </w:r>
    </w:p>
    <w:p w:rsidR="002479BD" w:rsidRPr="009F42DB" w:rsidRDefault="00E10AFF" w:rsidP="002479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="002479BD" w:rsidRPr="009F42DB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Головними гігієнічними вимогами до штучного освітлення є його достатня інтенсивність, рівномірність та відсутність різких тіней</w:t>
      </w:r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. Недостатня освітленість викликає втому центральної нервової системи, порушує нормальну функцію очей та може спричинити хвороби. </w:t>
      </w:r>
      <w:r w:rsidR="002479BD"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Інтенсивність освітлення вимірюється в </w:t>
      </w:r>
      <w:proofErr w:type="spellStart"/>
      <w:r w:rsidR="002479BD" w:rsidRPr="009F42DB">
        <w:rPr>
          <w:rFonts w:ascii="Times New Roman" w:hAnsi="Times New Roman" w:cs="Times New Roman"/>
          <w:i/>
          <w:sz w:val="24"/>
          <w:szCs w:val="24"/>
          <w:lang w:val="uk-UA"/>
        </w:rPr>
        <w:t>люксах</w:t>
      </w:r>
      <w:proofErr w:type="spellEnd"/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. У житлових приміщеннях норми освітлення повинні становити 75-100 </w:t>
      </w:r>
      <w:proofErr w:type="spellStart"/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. при люмінесцентних лампах і 30-50 </w:t>
      </w:r>
      <w:proofErr w:type="spellStart"/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при лампах розжарювання.</w:t>
      </w:r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Для штучного освітлення приміщень використовують світильники різних типів. Так, світильники прямого світла, спрямовують не менше 90% потоку світла вниз, краще використовувати для загального освітлення житлових і громадських приміщень. Світ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>ильники віддзеркаленого світла, щ</w:t>
      </w:r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>о спрямовують його вгору, де воно розсіюється стелею та стінами, створюють сприятливий для ока потік світла. Також можуть застосовуватися світильники розсіяного світла ( шар матового скла), що створюють рівномірне освітлення. У житлових номерах, крім загального освітлення зі стелі, слід застосовувати також місцеве освітлення - підвісні плафони, настінні бра, підлогові торшери, настільні лампи. Світильну арматуру необхідно періодично очищувати.</w:t>
      </w:r>
    </w:p>
    <w:p w:rsidR="00454AC2" w:rsidRPr="009F42DB" w:rsidRDefault="00454AC2" w:rsidP="002479B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Класифікація освітлення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Розрізняють бокове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природне освітлення, коли світло проникає до приміщення через світлові отвори в стінах; верхнє, яке здійснюється через світлові отвори в покрівлі (ліхтарі, прозорі перекриття); верхнє-бокове, яке передбачає наявність світлових отворів в стінах 1 перекриттях одночасна 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Штучне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електричними джерелами світла.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Суміщене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- одночасне використання природного та штучного освітлень.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Загальне штучне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призначено для освітлення всього приміщення. Воно може бути рівномірним по всій площі та локалізованим, коли світильники розташовують в залежності від розміщення обладнання, що дозволяє створювати більшу освітленість на робочих місцях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Місцеве штучне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призначено тільки для освітлення робочих поверхнею. Воно може бути стаціонарним або переносним.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Комбіноване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передбачає застосування загального і місцевого освітлень одночасно.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>Загальне освітлення має переваги при освітленні виробничих приміщень, в яких необхідно створювати умови для виконання робіт у будь-якій точці, чи там, де розташоване обладнання займає більшу площу робочої зони. При загальному освітленні забезпечується, найбільш сприятливий розподіл яскравості в полі зору працюючих.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>При комбінованому освітленні забезпечуються високі рівні освітленості на робочих поверхнях, в тому числі на вертикальних та похилих, складаються умови для підвищення видимості рельєфних об'єктів за рахунок створення їх тіней та ін.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Робоче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влаштовують в усіх приміщеннях, а також на відкритих територіях, що призначені для роботи, проходу людей та руху транспорту.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Аварійне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передбачають на випадок, коли припинення або порушення нормального обслуговування обладнання внаслідок виходу із ладу робочого освітлення може викликати пожежу, вибух або отруєння людей, тривале порушення технологічного процесу, відмову в роботі зв'язку, тепло- і електропостачання, каналізації, небезпеку травмування тощо. Мінімальна освітленість робочих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поверхонь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, які потребують 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обслуговування, при аварійному режимі має бути 5% від освітленості згідно з санітарними нормами, але не нижче ніж 2 </w:t>
      </w:r>
      <w:proofErr w:type="spellStart"/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усередині будівлі та 1лк на відкритих територіях.</w:t>
      </w:r>
      <w:r w:rsidR="002B223C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>Світильники аварійного освітлення мають відрізнятися від освітлювальних приладів робочого освітлення.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Евакуаційне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(аварійне для евакуації людей) виконують в місцях, які небезпечні для людей, в основних проходах та на сходах будівель, а також у приміщеннях, вихід людей з яких під час аварії пов'язаний з небезпекою травмування. При цьому найменша освітленість на підлозі, землі чи сходинках має бути не нижче ніж 0,5 </w:t>
      </w:r>
      <w:proofErr w:type="spellStart"/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у приміщеннях та 0,2 </w:t>
      </w:r>
      <w:proofErr w:type="spellStart"/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на відкритих територіях.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Охоронне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влаштовують уздовж кордону підприємства, який охороняється в нічну годину.</w:t>
      </w:r>
    </w:p>
    <w:p w:rsidR="00454AC2" w:rsidRPr="009F42DB" w:rsidRDefault="00370F2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Черг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ове освітлення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призначено для освітлення приміщень, будівель й неробочу годину.</w:t>
      </w:r>
    </w:p>
    <w:p w:rsidR="00454AC2" w:rsidRPr="009F42DB" w:rsidRDefault="00E10AFF" w:rsidP="002479B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  <w:r w:rsidR="002479BD" w:rsidRPr="009F42DB">
        <w:rPr>
          <w:rFonts w:ascii="Times New Roman" w:hAnsi="Times New Roman" w:cs="Times New Roman"/>
          <w:b/>
          <w:i/>
          <w:sz w:val="24"/>
          <w:szCs w:val="24"/>
          <w:lang w:val="uk-UA"/>
        </w:rPr>
        <w:t>Повітряний режим у приміщеннях визначають склад та рух повітря</w:t>
      </w:r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479BD" w:rsidRPr="009F42DB">
        <w:rPr>
          <w:rFonts w:ascii="Times New Roman" w:hAnsi="Times New Roman" w:cs="Times New Roman"/>
          <w:i/>
          <w:sz w:val="24"/>
          <w:szCs w:val="24"/>
          <w:lang w:val="uk-UA"/>
        </w:rPr>
        <w:t>Важливим санітарним заходом у боротьбі з забрудненням повітря є провітрювання приміщень.</w:t>
      </w:r>
    </w:p>
    <w:p w:rsidR="00454AC2" w:rsidRPr="009F42DB" w:rsidRDefault="00454AC2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4584A" w:rsidRPr="009F42DB">
        <w:rPr>
          <w:rFonts w:ascii="Times New Roman" w:hAnsi="Times New Roman" w:cs="Times New Roman"/>
          <w:sz w:val="24"/>
          <w:szCs w:val="24"/>
          <w:lang w:val="uk-UA"/>
        </w:rPr>
        <w:t>Головне завдання системи вентиляції  – створення комфортних умов внутрішнього клімату та дотримання вимог норм і правил.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В залежності від зони повітрообміну вентиляція буває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загальнообмінною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>, місцевою та комбінованою.</w:t>
      </w:r>
    </w:p>
    <w:p w:rsidR="00454AC2" w:rsidRPr="009F42DB" w:rsidRDefault="00454AC2" w:rsidP="00454AC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Загальнообмінна</w:t>
      </w:r>
      <w:proofErr w:type="spellEnd"/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вентиляція — це організація повітрообміну всього приміщення.</w:t>
      </w:r>
      <w:r w:rsidRPr="009F42DB">
        <w:rPr>
          <w:sz w:val="24"/>
          <w:szCs w:val="24"/>
          <w:lang w:val="uk-UA"/>
        </w:rPr>
        <w:t xml:space="preserve">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>Місцева витяжна вентиляція призначена для лока</w:t>
      </w:r>
      <w:r w:rsidR="002B223C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лізації і вилучення шкідливих речовин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в місцях їх утворення. Витяжні пристрої при цьому можуть бу</w:t>
      </w:r>
      <w:r w:rsidR="002B223C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ти закритого чи відкритого типу. </w:t>
      </w:r>
    </w:p>
    <w:p w:rsidR="002479BD" w:rsidRPr="009F42DB" w:rsidRDefault="002479BD" w:rsidP="00E10AF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Вентиляція може бути природною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- на основі різниці температур всередині | приміщення та за його межами. Її можна підсилити відкриванням кватирок і фрамуг. Правильне і часте провітрювання приміщень зменшує кількість мікроорганізми і пилу в повітрі у 3-5 разів. </w:t>
      </w: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Штучна вентиляція</w:t>
      </w:r>
      <w:r w:rsidR="00E10AFF"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готелі може бути роздільною, припливною</w:t>
      </w: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чи витяжною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у залежності від виду приміщень, де її встановл</w:t>
      </w:r>
      <w:r w:rsidR="00E10AFF" w:rsidRPr="009F42DB">
        <w:rPr>
          <w:rFonts w:ascii="Times New Roman" w:hAnsi="Times New Roman" w:cs="Times New Roman"/>
          <w:sz w:val="24"/>
          <w:szCs w:val="24"/>
          <w:lang w:val="uk-UA"/>
        </w:rPr>
        <w:t>ено, або комбінованою ( припливно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0AFF" w:rsidRPr="009F42DB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витяжною</w:t>
      </w:r>
      <w:r w:rsidR="00E10AFF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>Швидкість руху повітря вимірюється у м/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сек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>. У житловому приміщенні вона м</w:t>
      </w:r>
      <w:r w:rsidR="00E10AFF" w:rsidRPr="009F42DB">
        <w:rPr>
          <w:rFonts w:ascii="Times New Roman" w:hAnsi="Times New Roman" w:cs="Times New Roman"/>
          <w:sz w:val="24"/>
          <w:szCs w:val="24"/>
          <w:lang w:val="uk-UA"/>
        </w:rPr>
        <w:t>усить бути не більше 0,3 м/</w:t>
      </w:r>
      <w:proofErr w:type="spellStart"/>
      <w:r w:rsidR="00E10AFF" w:rsidRPr="009F42DB">
        <w:rPr>
          <w:rFonts w:ascii="Times New Roman" w:hAnsi="Times New Roman" w:cs="Times New Roman"/>
          <w:sz w:val="24"/>
          <w:szCs w:val="24"/>
          <w:lang w:val="uk-UA"/>
        </w:rPr>
        <w:t>сек</w:t>
      </w:r>
      <w:proofErr w:type="spellEnd"/>
      <w:r w:rsidR="00E10AFF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2479BD" w:rsidRPr="009F42DB" w:rsidRDefault="00E10AFF" w:rsidP="00E10AF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="002479BD" w:rsidRPr="009F42DB">
        <w:rPr>
          <w:rFonts w:ascii="Times New Roman" w:hAnsi="Times New Roman" w:cs="Times New Roman"/>
          <w:i/>
          <w:sz w:val="24"/>
          <w:szCs w:val="24"/>
          <w:lang w:val="uk-UA"/>
        </w:rPr>
        <w:t>Шкідливі для здоров'я людини також підвищена вологість або надм</w:t>
      </w:r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t>ірна сухість повітря у</w:t>
      </w:r>
      <w:r w:rsidR="002479BD"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приміщенні</w:t>
      </w:r>
      <w:r w:rsidR="002479BD" w:rsidRPr="009F42DB">
        <w:rPr>
          <w:rFonts w:ascii="Times New Roman" w:hAnsi="Times New Roman" w:cs="Times New Roman"/>
          <w:sz w:val="24"/>
          <w:szCs w:val="24"/>
          <w:lang w:val="uk-UA"/>
        </w:rPr>
        <w:t>. Організм людини дуже чутливо реагує на коливання вологості повітря. Оптимальна вологість готельних приміщ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ень мусить бути в межах 40-60%. </w:t>
      </w:r>
    </w:p>
    <w:p w:rsidR="00E10AFF" w:rsidRPr="009F42DB" w:rsidRDefault="00E10AFF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454AC2" w:rsidRPr="009F42DB">
        <w:rPr>
          <w:rFonts w:ascii="Times New Roman" w:hAnsi="Times New Roman" w:cs="Times New Roman"/>
          <w:i/>
          <w:sz w:val="24"/>
          <w:szCs w:val="24"/>
          <w:lang w:val="uk-UA"/>
        </w:rPr>
        <w:t>Опалення разом з іншими конструктивними рішеннями покликано забезпечити нормальні температурні умови в робочих зонах виробничих приміщень. Система опалення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-це комплекс конструктивних елементів, які призначені для отримання, перенесення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необхідної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кількості тепла в усі приміщення, що обігріваються. Опаленню підлягають усі будівлі, споруди і приміщення будь-якого призначення з постійним або періодичним (більше 2 годин) перебуванням в них людей під час основних і ремонтно-відбудовних робіт, а також у приміщеннях, де підтримання позитивної температури необхідно за технологічними умовами. Системи опалення поділяються на 2 групи: місцеві і центральні. До місцевих відносяться системи в яких тепло створюється і використовується в одному приміщенні, а до центрального - системи, які призначені для опалення кількох приміщень або будів</w:t>
      </w:r>
      <w:r w:rsidR="008D0304" w:rsidRPr="009F42D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454AC2" w:rsidRPr="009F42DB">
        <w:rPr>
          <w:rFonts w:ascii="Times New Roman" w:hAnsi="Times New Roman" w:cs="Times New Roman"/>
          <w:sz w:val="24"/>
          <w:szCs w:val="24"/>
          <w:lang w:val="uk-UA"/>
        </w:rPr>
        <w:t>ль від одного теплового центру.</w:t>
      </w:r>
    </w:p>
    <w:p w:rsidR="00850776" w:rsidRPr="009F42DB" w:rsidRDefault="002B223C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t>На робо</w:t>
      </w: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чому місці користувача ПК </w:t>
      </w:r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виникають небезпечні та шкідливі фактори: підвищений рівень шуму, несприятливі мікрокліматичні умови, недостатній рівень освітленості, шкідливі речовини, підвищений рівень електромагнітних </w:t>
      </w:r>
      <w:proofErr w:type="spellStart"/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t>випромінювань</w:t>
      </w:r>
      <w:proofErr w:type="spellEnd"/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радіочастот, висока напруга електричної мережі, статична електрика та інші. Робота </w:t>
      </w:r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з ПК супроводжується також підвищеним ступенем напруженості трудового процесу.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При систематичному впливі виробничих факторів, які не відповідають нормативним показникам, зростає рівень </w:t>
      </w:r>
      <w:proofErr w:type="spellStart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зумовленої захворюваності працюючих та можуть виникнути професійні захворювання органів зору, руху, нервової системи. Таким чином, вивчення умов праці на робочому місці користувача ПК є необхідною умовою запобігання негативних наслідків впливу небезпечних та шкідливих факторів.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223C" w:rsidRPr="009F42DB" w:rsidRDefault="002B223C" w:rsidP="002B22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ПРИКЛАД   ДОСЛІДЖЕННЯ  САНІТАРНО - ГІГІЄНІЧНИХ  УМОВ У  ПРИМІЩЕННІ</w:t>
      </w:r>
    </w:p>
    <w:p w:rsidR="00850776" w:rsidRPr="009F42DB" w:rsidRDefault="002B223C" w:rsidP="0085077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Дослідження санітарно-гігієнічних умов у приміщенні будемо проводити з використанням приборів вимірювання параметрів мікроклімату (психрометр Августа), освітленості (люксметр Ю–116) та шуму (шумомір Шум 1М), а також відомих розрахункових </w:t>
      </w:r>
      <w:proofErr w:type="spellStart"/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t>методик</w:t>
      </w:r>
      <w:proofErr w:type="spellEnd"/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sz w:val="24"/>
          <w:szCs w:val="24"/>
          <w:lang w:val="uk-UA"/>
        </w:rPr>
        <w:t>1 Організація робочого місця</w:t>
      </w:r>
    </w:p>
    <w:p w:rsidR="00850776" w:rsidRPr="009F42DB" w:rsidRDefault="002B223C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Приміщення, в якому знаходиться робоче місце програміста, загальною площею 20 м2, і висотою стелі 3 м. У приміщенні знаходиться 7 робочих місць з ПК. Кожне робоче місце обладнане робочім столом площею 1,2 м2, стільцем та персональним комп'ютером, що складається з монітора, системного блоку, клавіатури та миші. Слід відзначити, що площа одного робочого місця оператора ПК не повинна бути меншою за 6м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2 ,а об'єм не менший за 20м3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, тобто площі та об'єму даного приміщення не вистачає для розташування 7 робочих місць операторів ПК.</w:t>
      </w:r>
    </w:p>
    <w:p w:rsidR="00850776" w:rsidRPr="009F42DB" w:rsidRDefault="002B223C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Проаналізуємо санітарно-гігієнічні характеристики вказаного приміщення на відповідність нормованому рівню показників.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2 Параметри мікроклімату </w:t>
      </w:r>
    </w:p>
    <w:p w:rsidR="00850776" w:rsidRPr="009F42DB" w:rsidRDefault="002B223C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Нормування параметрів проводиться в залежності від періоду року та категорії важкості виконуваних робіт. Для постійних робочих місць, якими є робочі місця операторів ПК, встановлені оптимальні параметри мікроклімату, а за неможливості їх дотримання використовують допустимі параметри. Робота оператора ПК за енерговитратами відноситься до категорії легких робіт </w:t>
      </w:r>
      <w:proofErr w:type="spellStart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Іа</w:t>
      </w:r>
      <w:proofErr w:type="spellEnd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Іб</w:t>
      </w:r>
      <w:proofErr w:type="spellEnd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. В таблиці А1. наведені оптимальні параметри мікроклімату в приміщеннях, де виконуються роботи операторського типу.</w:t>
      </w:r>
    </w:p>
    <w:p w:rsidR="00850776" w:rsidRPr="009F42DB" w:rsidRDefault="00AF1CFB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Таблиця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1 - Параметри мікроклімату для приміщень з ПК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35"/>
        <w:gridCol w:w="4965"/>
        <w:gridCol w:w="2460"/>
      </w:tblGrid>
      <w:tr w:rsidR="00850776" w:rsidRPr="00850776" w:rsidTr="00850776">
        <w:trPr>
          <w:trHeight w:val="10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Параметр </w:t>
            </w:r>
            <w:proofErr w:type="spellStart"/>
            <w:proofErr w:type="gram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ікроклімату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 </w:t>
            </w:r>
          </w:p>
        </w:tc>
      </w:tr>
      <w:tr w:rsidR="00850776" w:rsidRPr="00850776" w:rsidTr="00850776">
        <w:trPr>
          <w:trHeight w:val="3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Холодний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повітря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приміщенні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відносна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вологість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руху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повітря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22...24</w:t>
            </w:r>
            <w:proofErr w:type="gram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40... 60%; до 0,1 м/с </w:t>
            </w:r>
          </w:p>
        </w:tc>
      </w:tr>
      <w:tr w:rsidR="00850776" w:rsidRPr="00850776" w:rsidTr="00850776">
        <w:trPr>
          <w:trHeight w:val="3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Теплий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повітря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приміщенні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відносна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вологість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руху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повітря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23...25</w:t>
            </w:r>
            <w:proofErr w:type="gram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40...60% 0,1...0,2 м/с </w:t>
            </w:r>
          </w:p>
        </w:tc>
      </w:tr>
    </w:tbl>
    <w:p w:rsidR="00850776" w:rsidRDefault="00850776" w:rsidP="008507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0776" w:rsidRPr="009F42DB" w:rsidRDefault="00AF1CFB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Виміряні за допомогою приладів температура та вологість у лабораторії відповідають вказаним у таблиці для теплого періоду року. Слід зазначити, що для нормалізації параметрів мікроклімату слід використовувати у приміщеннях кондиціювання повітря, або забезпечити подачу свіжого повітря системами вентиляції. Норми подачі свіж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ого повітря наведені у таблиці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2DB" w:rsidRDefault="009F42D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0304" w:rsidRPr="009F42DB" w:rsidRDefault="00AF1CFB" w:rsidP="00454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Таблиця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2 - Норми подачі свіжого повітря в приміщення з ПК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5"/>
        <w:gridCol w:w="5385"/>
      </w:tblGrid>
      <w:tr w:rsidR="00850776" w:rsidRPr="00850776" w:rsidTr="00850776">
        <w:trPr>
          <w:trHeight w:val="390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Об'ємна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витрата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іжого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повітря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подається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507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З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 одну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людину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годину </w:t>
            </w:r>
          </w:p>
        </w:tc>
      </w:tr>
      <w:tr w:rsidR="00850776" w:rsidRPr="00850776" w:rsidTr="00850776">
        <w:trPr>
          <w:trHeight w:val="555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Об'є</w:t>
            </w:r>
            <w:proofErr w:type="gram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20 м</w:t>
            </w:r>
            <w:r w:rsidRPr="008507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3</w:t>
            </w: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людину</w:t>
            </w:r>
            <w:proofErr w:type="spellEnd"/>
          </w:p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20... 40 м</w:t>
            </w:r>
            <w:r w:rsidRPr="008507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3</w:t>
            </w: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людину</w:t>
            </w:r>
            <w:proofErr w:type="spellEnd"/>
          </w:p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 м</w:t>
            </w:r>
            <w:r w:rsidRPr="008507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3</w:t>
            </w: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людину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менше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менше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  <w:p w:rsidR="00850776" w:rsidRPr="00850776" w:rsidRDefault="00850776" w:rsidP="00850776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біти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використана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природна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вентиляція</w:t>
            </w:r>
            <w:proofErr w:type="spellEnd"/>
            <w:r w:rsidRPr="00850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50776" w:rsidRDefault="00850776" w:rsidP="00454AC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0776" w:rsidRPr="009F42DB" w:rsidRDefault="00AF1CFB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Розташовані у приміщенні 7 ПК є джерелами тепловиділень, крім того для підтримання у приміщенні в холодний період року оптимальних параметрів мікроклімату використовуються нагріті поверхні опалювальної системи. Нормованим показником ІЧВ являється гранично допустима густина потоку енергії </w:t>
      </w:r>
      <w:proofErr w:type="spellStart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Іг.д</w:t>
      </w:r>
      <w:proofErr w:type="spellEnd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, Вт/м2, яка встановлюється в залежності від площі опромінюваної поверхні тіла людини (</w:t>
      </w:r>
      <w:proofErr w:type="spellStart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Sопр</w:t>
      </w:r>
      <w:proofErr w:type="spellEnd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). Нормовані рівні складають: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Іг.д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=35 Вт/м2 за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Sопр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&gt; 50%;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Іг.д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=70 Вт/м2 за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Sопр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~ 25-50%;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Іг.д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=100 Вт/м2 за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Sопр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&lt; 25%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3 Освітленість </w:t>
      </w:r>
    </w:p>
    <w:p w:rsidR="00850776" w:rsidRPr="009F42DB" w:rsidRDefault="00AF1CFB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Нормованим параметром природного освітлення являється коефіцієнт природного освітлення (КПО). КПО встановлюється в залежності від розряду виконуваних зорових робіт.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Робота оператора ПК відноситься до робіт середньої точності (ІV розряд зорових робіт, мінімальний розмір об'єкту розрізнення складає 0,5 – 1,0 мм), для яких при використанні бокового освітлення КПО=1,5 %.</w:t>
      </w:r>
      <w:r w:rsidR="00AF1CFB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Для штучного освітлення нормованим параметром виступає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Емін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– мінімальний рівень освітленості, та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– коефіцієнт пульсації світлового потоку, який не повинний бути більшим ніж 20%.</w:t>
      </w:r>
      <w:r w:rsidR="00AF1CFB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Мінімальна освітленість встановлюється в залежності від розряду виконуваних зорових робіт. Для ІV розряду зорових робіт вона складає 300...500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0776" w:rsidRPr="009F42DB" w:rsidRDefault="00AF1CFB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="00850776" w:rsidRPr="009F42DB">
        <w:rPr>
          <w:rFonts w:ascii="Times New Roman" w:hAnsi="Times New Roman" w:cs="Times New Roman"/>
          <w:i/>
          <w:sz w:val="24"/>
          <w:szCs w:val="24"/>
          <w:lang w:val="uk-UA"/>
        </w:rPr>
        <w:t>Перевіримо освітленість робочого місця користувача ПК на відповідність розряду зорової роботи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. За даними вимірювань рівень природної освітленості поверхні, де розташований ПК, складає 200 </w:t>
      </w:r>
      <w:proofErr w:type="spellStart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за освітленості тієї же поверхні відкритим небосхилом в 20000 </w:t>
      </w:r>
      <w:proofErr w:type="spellStart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, тобто КПО = 1%, що не відповідає нормативному КПО.</w:t>
      </w:r>
      <w:r w:rsidR="00E57CB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Для штучного освітлення у приміщенні використовуються люмінесцентні лампи.</w:t>
      </w:r>
      <w:r w:rsidR="00E57CB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Розрахунок штучного освітлення проведемо для кімнати площею 20 м2, ширина якої складає 5м, довжина – 4м, висота – 3м.</w:t>
      </w:r>
      <w:r w:rsidR="00E57CB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776" w:rsidRPr="009F42DB">
        <w:rPr>
          <w:rFonts w:ascii="Times New Roman" w:hAnsi="Times New Roman" w:cs="Times New Roman"/>
          <w:sz w:val="24"/>
          <w:szCs w:val="24"/>
          <w:lang w:val="uk-UA"/>
        </w:rPr>
        <w:t>Скористаємося методом використання світлового потоку. Для визначення потрібної кількості світильників, які повинні забезпечити нормований рівень освітленості, визначимо світловий потік, що падає на робочу поверхню за формулою: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noProof/>
          <w:sz w:val="24"/>
          <w:szCs w:val="24"/>
          <w:lang w:eastAsia="ru-RU"/>
        </w:rPr>
        <w:drawing>
          <wp:inline distT="0" distB="0" distL="0" distR="0" wp14:anchorId="3ABAB56F" wp14:editId="27CF2C3B">
            <wp:extent cx="2009775" cy="771525"/>
            <wp:effectExtent l="0" t="0" r="9525" b="9525"/>
            <wp:docPr id="1" name="Рисунок 1" descr="https://cpo.stu.cn.ua/Oksana/dipl_bak/img/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po.stu.cn.ua/Oksana/dipl_bak/img/img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F – світловий потік, що розраховується,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лм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E – нормована мінімальна освітленість,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; Е = 300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лк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S – площа освітлюваного приміщення (у нашому випадку S=20м2 );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Z – відношення середньої освітленості до мінімальної (зазвичай приймається рівним 1,1... 1,2, в нашому випадку Z =1,1);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lastRenderedPageBreak/>
        <w:t>K – коефіцієнт запасу, що враховує зменшення світлового потоку лампи в результаті забруднення світильників в процесі експлуатації (його значення залежить від типу приміщення і характеру робіт, що проводяться в ньому, в нашому випадку К = 1,5);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η – коефіцієнт використання світлового потоку, (виражається відношенням світлового потоку, що падає на розрахункову поверхню, до сумарного потоку всіх ламп, і обчислюється в долях одиниці; залежить від характеристик світильника, розмірів приміщення, забарвлення стін і стелі, що характеризуються коефіцієнтами відбиття від стін (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ρст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>.) і стелі (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ρстелі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)), значення коефіцієнтів дорівнюють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ρст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= 40% і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ρстелі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>=60%.</w:t>
      </w:r>
    </w:p>
    <w:p w:rsidR="00850776" w:rsidRPr="009F42DB" w:rsidRDefault="00850776" w:rsidP="0085077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Обчислимо індекс приміщення за формулою:</w:t>
      </w:r>
    </w:p>
    <w:p w:rsidR="00E57CB2" w:rsidRPr="009F42DB" w:rsidRDefault="00E57CB2" w:rsidP="0085077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57CB2" w:rsidRPr="009F42DB" w:rsidRDefault="00E57CB2" w:rsidP="0085077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42DB">
        <w:rPr>
          <w:noProof/>
          <w:sz w:val="24"/>
          <w:szCs w:val="24"/>
          <w:lang w:eastAsia="ru-RU"/>
        </w:rPr>
        <w:drawing>
          <wp:inline distT="0" distB="0" distL="0" distR="0" wp14:anchorId="51E0A328" wp14:editId="31E01990">
            <wp:extent cx="1819275" cy="533400"/>
            <wp:effectExtent l="0" t="0" r="9525" b="0"/>
            <wp:docPr id="2" name="Рисунок 2" descr="https://cpo.stu.cn.ua/Oksana/dipl_bak/img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po.stu.cn.ua/Oksana/dipl_bak/img/img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B2" w:rsidRPr="009F42DB" w:rsidRDefault="00E57CB2" w:rsidP="0085077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S – площа приміщення, S = 20м2; h – розрахункова висота підвісу, h = 2,9 м; A – ширина приміщення, А = 4 м; B – довжина приміщення, В = 5 м.</w:t>
      </w:r>
    </w:p>
    <w:p w:rsidR="00850776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Підставивши значення отримаємо: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D416F98" wp14:editId="52630298">
            <wp:extent cx="2047875" cy="647700"/>
            <wp:effectExtent l="0" t="0" r="9525" b="0"/>
            <wp:docPr id="3" name="Рисунок 3" descr="https://cpo.stu.cn.ua/Oksana/dipl_bak/img/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po.stu.cn.ua/Oksana/dipl_bak/img/img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Знаючи індекс приміщення І, за таблицею 4 [4] знаходимо η =0,22.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Підставимо всі значення у формулу для визначення світлового потоку F :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B675C1B" wp14:editId="07455E50">
            <wp:extent cx="2886075" cy="600075"/>
            <wp:effectExtent l="0" t="0" r="9525" b="9525"/>
            <wp:docPr id="4" name="Рисунок 4" descr="https://cpo.stu.cn.ua/Oksana/dipl_bak/img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po.stu.cn.ua/Oksana/dipl_bak/img/img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N – кількість ламп, що визначається; F - світловий потік, F = 45000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лм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Fл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- світловий потік лампи,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Fл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= 4320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лм</w:t>
      </w:r>
      <w:proofErr w:type="spellEnd"/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B3FE920" wp14:editId="2DDF1DBC">
            <wp:extent cx="1704975" cy="514350"/>
            <wp:effectExtent l="0" t="0" r="9525" b="0"/>
            <wp:docPr id="5" name="Рисунок 5" descr="https://cpo.stu.cn.ua/Oksana/dipl_bak/img/img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po.stu.cn.ua/Oksana/dipl_bak/img/img_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В приміщенні використовуються світильники типу ОД. Кожен світильник комплектується двома лампами. Тобто необхідно використовувати 6 світильників із 12 працюючими лампами в них. На момент атестації робочого місця оператора працювало 7 ламп, тому рівень штучного освітлення не задовольняв санітарним нормам . Для покращення умов праці рекомендуємо збільшити рівень загальної освітленості приміщення шляхом встановлення 5 додаткових ламп.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sz w:val="24"/>
          <w:szCs w:val="24"/>
          <w:lang w:val="uk-UA"/>
        </w:rPr>
        <w:t>4 Випромінювання монітору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Допустимі значення параметрів неіонізуючих електромагнітних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випромінювань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від монітору ком</w:t>
      </w:r>
      <w:r w:rsidR="009F42DB">
        <w:rPr>
          <w:rFonts w:ascii="Times New Roman" w:hAnsi="Times New Roman" w:cs="Times New Roman"/>
          <w:sz w:val="24"/>
          <w:szCs w:val="24"/>
          <w:lang w:val="uk-UA"/>
        </w:rPr>
        <w:t xml:space="preserve">п’ютера представлені в таблиці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>3.</w:t>
      </w:r>
    </w:p>
    <w:p w:rsidR="009F42DB" w:rsidRDefault="009F42DB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2DB" w:rsidRDefault="009F42DB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42DB" w:rsidRDefault="009F42DB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B2" w:rsidRPr="009F42DB" w:rsidRDefault="009F42DB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Таблиця3</w:t>
      </w:r>
      <w:r w:rsidR="00E57CB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Допустимі значення параметрів неіонізуючих електромагнітних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  <w:lang w:val="uk-UA"/>
        </w:rPr>
        <w:t>випромінювань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tbl>
      <w:tblPr>
        <w:tblpPr w:leftFromText="180" w:rightFromText="180" w:vertAnchor="text" w:horzAnchor="margin" w:tblpY="184"/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20"/>
        <w:gridCol w:w="2475"/>
      </w:tblGrid>
      <w:tr w:rsidR="009F42DB" w:rsidRPr="00E57CB2" w:rsidTr="009F42DB">
        <w:trPr>
          <w:trHeight w:val="105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9F42DB" w:rsidP="009F42DB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параметра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9F42DB" w:rsidP="009F42DB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2DB" w:rsidRPr="00E57CB2" w:rsidTr="009F42DB">
        <w:trPr>
          <w:trHeight w:val="240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9F42DB" w:rsidP="009F42DB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Напруженість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складової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електромагнітного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 на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відстані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 см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відеомонітору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9F42DB" w:rsidP="009F42DB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 </w:t>
            </w:r>
          </w:p>
        </w:tc>
      </w:tr>
      <w:tr w:rsidR="009F42DB" w:rsidRPr="00E57CB2" w:rsidTr="009F42DB">
        <w:trPr>
          <w:trHeight w:val="255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9F42DB" w:rsidP="009F42DB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Напруженість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магнітної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складової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електромагнітного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 на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відстані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 см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відеомонітору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9F42DB" w:rsidP="009F42DB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 </w:t>
            </w:r>
          </w:p>
        </w:tc>
      </w:tr>
      <w:tr w:rsidR="009F42DB" w:rsidRPr="00E57CB2" w:rsidTr="009F42DB">
        <w:trPr>
          <w:trHeight w:val="525"/>
        </w:trPr>
        <w:tc>
          <w:tcPr>
            <w:tcW w:w="6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9F42DB" w:rsidP="009F42DB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Напруженість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електростатичного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 не 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повинна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перевищувати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дорослих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користувачів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дошкільних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навчаються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середніх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спеціальних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вищих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9F42DB" w:rsidP="009F42DB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20кВ/м 15кВ/м </w:t>
            </w:r>
          </w:p>
        </w:tc>
      </w:tr>
    </w:tbl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B2" w:rsidRPr="009F42DB" w:rsidRDefault="009F42DB" w:rsidP="00E57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ормованим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параметром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невикористаного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рентгенівського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випромінювання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виступає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потужність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експозиційної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дози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відстані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5 см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поверхні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екрану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монітору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7CB2" w:rsidRPr="009F42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57CB2" w:rsidRPr="009F42DB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не повинен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перевищувати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/год.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7CB2" w:rsidRPr="009F42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57CB2" w:rsidRPr="009F42DB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рентгенівського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випромінювання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комп'ютера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зазвичай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>/год.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2DB">
        <w:rPr>
          <w:rFonts w:ascii="Times New Roman" w:hAnsi="Times New Roman" w:cs="Times New Roman"/>
          <w:b/>
          <w:bCs/>
          <w:sz w:val="24"/>
          <w:szCs w:val="24"/>
        </w:rPr>
        <w:t>5 Шум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вказано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сім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операторів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ЕОМ,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кожне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устатковане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монітором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вінчестером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в системному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блоці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трьома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вентиляторами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охолоджування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ПК </w:t>
      </w:r>
      <w:proofErr w:type="gramStart"/>
      <w:r w:rsidRPr="009F42DB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клавіатурою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F42DB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9F42DB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того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периферійна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техніка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. Таким чином у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шуми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механічного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аеродинамічного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широкосмугові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аперіодичним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42D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42DB">
        <w:rPr>
          <w:rFonts w:ascii="Times New Roman" w:hAnsi="Times New Roman" w:cs="Times New Roman"/>
          <w:sz w:val="24"/>
          <w:szCs w:val="24"/>
        </w:rPr>
        <w:t>ідсиленням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принтерів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Орієнтовні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еквівалентні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звукового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шуму,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на оператора на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представлені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А4.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Допустимий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еквівалентний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42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F42DB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шуму для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мі</w:t>
      </w:r>
      <w:r w:rsidR="009F42DB">
        <w:rPr>
          <w:rFonts w:ascii="Times New Roman" w:hAnsi="Times New Roman" w:cs="Times New Roman"/>
          <w:sz w:val="24"/>
          <w:szCs w:val="24"/>
        </w:rPr>
        <w:t>сця</w:t>
      </w:r>
      <w:proofErr w:type="spellEnd"/>
      <w:r w:rsidR="009F42DB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="009F42DB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="009F42DB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="009F42DB">
        <w:rPr>
          <w:rFonts w:ascii="Times New Roman" w:hAnsi="Times New Roman" w:cs="Times New Roman"/>
          <w:sz w:val="24"/>
          <w:szCs w:val="24"/>
        </w:rPr>
        <w:t>дБА</w:t>
      </w:r>
      <w:proofErr w:type="spellEnd"/>
      <w:r w:rsidR="009F42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F42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Розрахуємо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шуму на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всієї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вказаної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2DB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9F42DB">
        <w:rPr>
          <w:rFonts w:ascii="Times New Roman" w:hAnsi="Times New Roman" w:cs="Times New Roman"/>
          <w:sz w:val="24"/>
          <w:szCs w:val="24"/>
        </w:rPr>
        <w:t>. 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B2" w:rsidRPr="009F42DB" w:rsidRDefault="009F42DB" w:rsidP="00E57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57CB2" w:rsidRPr="009F42DB">
        <w:rPr>
          <w:rFonts w:ascii="Times New Roman" w:hAnsi="Times New Roman" w:cs="Times New Roman"/>
          <w:sz w:val="24"/>
          <w:szCs w:val="24"/>
        </w:rPr>
        <w:t> – </w:t>
      </w:r>
      <w:proofErr w:type="spellStart"/>
      <w:proofErr w:type="gramStart"/>
      <w:r w:rsidR="00E57CB2" w:rsidRPr="009F42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57CB2" w:rsidRPr="009F42DB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звукового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B2" w:rsidRPr="009F42DB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="00E57CB2" w:rsidRPr="009F42D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75"/>
        <w:gridCol w:w="2475"/>
      </w:tblGrid>
      <w:tr w:rsidR="00E57CB2" w:rsidRPr="009F42DB" w:rsidTr="00E57CB2">
        <w:trPr>
          <w:trHeight w:val="120"/>
          <w:jc w:val="center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Джерело</w:t>
            </w:r>
            <w:proofErr w:type="spellEnd"/>
            <w:r w:rsidRPr="009F42DB">
              <w:rPr>
                <w:rFonts w:ascii="Times New Roman" w:hAnsi="Times New Roman" w:cs="Times New Roman"/>
                <w:sz w:val="24"/>
                <w:szCs w:val="24"/>
              </w:rPr>
              <w:t xml:space="preserve"> шуму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івень</w:t>
            </w:r>
            <w:proofErr w:type="spellEnd"/>
            <w:r w:rsidRPr="009F42DB">
              <w:rPr>
                <w:rFonts w:ascii="Times New Roman" w:hAnsi="Times New Roman" w:cs="Times New Roman"/>
                <w:sz w:val="24"/>
                <w:szCs w:val="24"/>
              </w:rPr>
              <w:t xml:space="preserve"> шуму, </w:t>
            </w:r>
            <w:proofErr w:type="spellStart"/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дБА</w:t>
            </w:r>
            <w:proofErr w:type="spellEnd"/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CB2" w:rsidRPr="009F42DB" w:rsidTr="00E57CB2">
        <w:trPr>
          <w:trHeight w:val="135"/>
          <w:jc w:val="center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Жорсткий</w:t>
            </w:r>
            <w:proofErr w:type="spellEnd"/>
            <w:r w:rsidRPr="009F42DB">
              <w:rPr>
                <w:rFonts w:ascii="Times New Roman" w:hAnsi="Times New Roman" w:cs="Times New Roman"/>
                <w:sz w:val="24"/>
                <w:szCs w:val="24"/>
              </w:rPr>
              <w:t xml:space="preserve"> диск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45 </w:t>
            </w:r>
          </w:p>
        </w:tc>
      </w:tr>
      <w:tr w:rsidR="00E57CB2" w:rsidRPr="009F42DB" w:rsidTr="00E57CB2">
        <w:trPr>
          <w:trHeight w:val="135"/>
          <w:jc w:val="center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Вентилятор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45 </w:t>
            </w:r>
          </w:p>
        </w:tc>
      </w:tr>
      <w:tr w:rsidR="00E57CB2" w:rsidRPr="009F42DB" w:rsidTr="00E57CB2">
        <w:trPr>
          <w:trHeight w:val="135"/>
          <w:jc w:val="center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Принтер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55 </w:t>
            </w:r>
          </w:p>
        </w:tc>
      </w:tr>
      <w:tr w:rsidR="00E57CB2" w:rsidRPr="009F42DB" w:rsidTr="00E57CB2">
        <w:trPr>
          <w:trHeight w:val="135"/>
          <w:jc w:val="center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Сканер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9F42DB" w:rsidRDefault="00E57CB2" w:rsidP="00E57C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2DB">
              <w:rPr>
                <w:rFonts w:ascii="Times New Roman" w:hAnsi="Times New Roman" w:cs="Times New Roman"/>
                <w:sz w:val="24"/>
                <w:szCs w:val="24"/>
              </w:rPr>
              <w:t>50 </w:t>
            </w:r>
          </w:p>
        </w:tc>
      </w:tr>
    </w:tbl>
    <w:p w:rsidR="00E57CB2" w:rsidRDefault="00E57CB2" w:rsidP="00E57C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7CB2" w:rsidRDefault="00E57CB2" w:rsidP="00E57C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Рівень шуму, що виникає від декількох некогерентних джерел, що працюють одночасно, підраховується на підставі принципу енергетичного підсумовування рівня інтенсивності окремих джерел: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94ACFE4" wp14:editId="66160F81">
            <wp:extent cx="1943100" cy="657225"/>
            <wp:effectExtent l="0" t="0" r="0" b="9525"/>
            <wp:docPr id="6" name="Рисунок 6" descr="https://cpo.stu.cn.ua/Oksana/dipl_bak/img/img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po.stu.cn.ua/Oksana/dipl_bak/img/img_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Li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- рівень звукового тиску і-го джерела шуму; n - кількість джерел шуму. 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Підставивши значення рівня звукового тиску для кожного виду устаткування у формулу, отримаємо: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F3D4A97" wp14:editId="1D636A69">
            <wp:extent cx="3771900" cy="209550"/>
            <wp:effectExtent l="0" t="0" r="0" b="0"/>
            <wp:docPr id="7" name="Рисунок 7" descr="https://cpo.stu.cn.ua/Oksana/dipl_bak/img/img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po.stu.cn.ua/Oksana/dipl_bak/img/img_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За наявності декількох джерел шуму з однаковим рівнем інтенсивності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Li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загальний рівень шуму визначають за формулою: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L=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Li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>+ 10lg n.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У нашому випадку таких джерел сім, отже загальний рівень шуму буде визначатися так: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L=44,2+ 10lg 7 = 52,7дБ.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Отримані результати розрахунку порівнюється з допустимим значенням рівня шуму для даного робочого місця. Якщо розрахований рівень шуму перевищує допустиме значення, то необхідні спеціальні заходи зі зниження шуму. До них відносяться: облицьовування стін і стелі залу звукопоглинальними матеріалами, зниження шуму в джерелі, правильне планування устаткування і раціональна організація робочого місця оператора. Розраховане значення середнього рівня шуму не перевищує гранично допустимого рівня шуму для робочого місця оператора, тобто в спеціальних заходах зі зниження рівня шуму не має потреби.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sz w:val="24"/>
          <w:szCs w:val="24"/>
          <w:lang w:val="uk-UA"/>
        </w:rPr>
        <w:t>6 Напруженість праці</w:t>
      </w:r>
      <w:r w:rsidRPr="009F42DB">
        <w:rPr>
          <w:b/>
          <w:sz w:val="24"/>
          <w:szCs w:val="24"/>
          <w:lang w:val="uk-UA"/>
        </w:rPr>
        <w:t xml:space="preserve"> 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Оцінка напруженості праці здійснюється на підставі обліку всіх наявних значущих показників, які можуть перевищувати нормативні рівні. Спочатку встановлюється клас кожного з показників, що визначались. Кінцева оцінка напруженості праці встановлюється за показником, який має найвищий ступінь напруженості. У тих випадках, коли більше трьох показників мають оцінку 3.1 та 3.2, напруженість трудового процесу оцінюється на один ступі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нь вище, тобто класами 3.2-3.3.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>Під час атестації робочого місця користувача ПК значущими є такі показники: Інтелектуальні навантаження - належить до класу 3.1 (Передбачає рішення складних завдань з вибором за відомим алгоритмом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(робота за серією інструкцій).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>Розподіл функцій за ступенем складності завдання - належить до класу 2 (Обробка, виконан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ня завдання та його перевірка).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>Характер виконуваної роботи належить до класу 2 (Робота за встановленим графіком з можливим його коректуванням у ході діяльності).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Навантаження на зоровий аналізатор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(при відстані від очей працюючого до об'єкта розрізнення не більше 0,5 м), за тривалості зосередженого спостереження (% часу зміни)) – належить до класу 2 (5,0...1,1 мм більше 50 % часу; 1,0...0,3 мм до 50 % часу; менше 0,3 мм до 25 %).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Спостереження за екранами </w:t>
      </w:r>
      <w:proofErr w:type="spellStart"/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відеотерміналів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(годин на зміну) - належить до класу 3.2 (більше 4 годин).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Монотонність праці.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елементів (прийомів, необхідних для реалізації простого завдання або в операціях, які повторюються багаторазово) - належить до класу 3.1 (5...3 прийоми).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Режим праці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(Фактична тривалість робочого дня (год.)) - належить до класу 1 (6-7 годин).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Наявність регламентованих перерв та їх тривалість - належить до класу 2 (Перерви регламентовані, недостатньої тривалості: від 3 % до 7 % часу зміни).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Отже за даними атестації робоче місце за показниками напруженості трудового процесу відноситься до класу 3.1 - Шкідливий (напружена праця).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sz w:val="24"/>
          <w:szCs w:val="24"/>
          <w:lang w:val="uk-UA"/>
        </w:rPr>
        <w:t>7 Важкість праці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Оцінка важкості праці здійснюється на підставі обліку всіх наявних значущих показників. При цьому спочатку встановлюється клас кожного із вимірюваних показників, а кінцева оцінка важкості праці встановлюється за показником, який має найвищий ступінь важкості.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Під час оцінки умов праці на робочому місці програміста значущими є такі показники: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– стереотипні робочі рухи (кількість за зміну): у разі локального навантаження (за участю м'язів кистей та пальців рук) – належить до класу 1 (до 20000). У випадку загального навантаження (при роботі з переважною участю м'язів рук та плечового поясу) – належить до класу 1 (до 10000);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– робоча поза – належить до класу 2 (Періодичне перебування в незручній позі (робота з поворотом) тулуба, незручним розташуванням кінцівок) та/або фіксованій позі (неможливість зміни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взаєморозташування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різних частин тіла відносно одна одної) до 25 % часу зміни.);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– нахили </w:t>
      </w:r>
      <w:proofErr w:type="spellStart"/>
      <w:r w:rsidRPr="009F42DB">
        <w:rPr>
          <w:rFonts w:ascii="Times New Roman" w:hAnsi="Times New Roman" w:cs="Times New Roman"/>
          <w:sz w:val="24"/>
          <w:szCs w:val="24"/>
          <w:lang w:val="uk-UA"/>
        </w:rPr>
        <w:t>корпуса</w:t>
      </w:r>
      <w:proofErr w:type="spellEnd"/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 (вимушені, більше 30), кількість за зміну - належить до класу 1 (до 50);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– переміщення у просторі (переходи, обумовлені технологічним процесом протягом зміни), км: по горизонталі - належить до класу 1 (до 4); по вертикалі – до класу 1 (до 2).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i/>
          <w:sz w:val="24"/>
          <w:szCs w:val="24"/>
          <w:lang w:val="uk-UA"/>
        </w:rPr>
        <w:t>Отже за даними атестації робоче місце за показниками важкості трудового процесу відноситься до класу 2 – Допустимий, середнє фізичне навантаження.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b/>
          <w:sz w:val="24"/>
          <w:szCs w:val="24"/>
          <w:lang w:val="uk-UA"/>
        </w:rPr>
        <w:t>8 Карта умов праці</w:t>
      </w:r>
    </w:p>
    <w:p w:rsidR="00E57CB2" w:rsidRPr="009F42DB" w:rsidRDefault="00E57CB2" w:rsidP="00E57CB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Результати аналізу умов праці занесе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 xml:space="preserve">мо до карти умов праці таблиця </w:t>
      </w:r>
      <w:r w:rsidRPr="009F42DB">
        <w:rPr>
          <w:rFonts w:ascii="Times New Roman" w:hAnsi="Times New Roman" w:cs="Times New Roman"/>
          <w:sz w:val="24"/>
          <w:szCs w:val="24"/>
          <w:lang w:val="uk-UA"/>
        </w:rPr>
        <w:t>5:</w:t>
      </w:r>
    </w:p>
    <w:p w:rsidR="00E57CB2" w:rsidRPr="009F42DB" w:rsidRDefault="00E57CB2" w:rsidP="00E57C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F42DB">
        <w:rPr>
          <w:rFonts w:ascii="Times New Roman" w:hAnsi="Times New Roman" w:cs="Times New Roman"/>
          <w:sz w:val="24"/>
          <w:szCs w:val="24"/>
          <w:lang w:val="uk-UA"/>
        </w:rPr>
        <w:t>Таблиця 5 – Фактичний стан умов праці на робочих місцях</w:t>
      </w:r>
    </w:p>
    <w:p w:rsidR="00E57CB2" w:rsidRPr="009F42DB" w:rsidRDefault="00E57CB2" w:rsidP="00E57C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88"/>
        <w:gridCol w:w="1625"/>
        <w:gridCol w:w="1509"/>
        <w:gridCol w:w="898"/>
        <w:gridCol w:w="674"/>
        <w:gridCol w:w="1181"/>
      </w:tblGrid>
      <w:tr w:rsidR="00E57CB2" w:rsidRPr="00E57CB2" w:rsidTr="009F42DB">
        <w:trPr>
          <w:trHeight w:val="270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Параметри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допустимі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2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длив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</w:t>
            </w: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3.3 </w:t>
            </w: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9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Сані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тарно-г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ігієнічні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Мікроклімат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Відносна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вологість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45 %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руху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повітря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 м/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 (дБ)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52,7дБ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3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35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Теплове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випромінювання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3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Вт/м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2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4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25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Рентгенівське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випромінювання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/год. 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9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напруженості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</w:tr>
      <w:tr w:rsidR="00E57CB2" w:rsidRPr="00E57CB2" w:rsidTr="009F42DB">
        <w:trPr>
          <w:trHeight w:val="25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Інтелектуальне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390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Розподіл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функцій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ступенем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складності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25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виконуваної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25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Навантаження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зоровий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аналізатор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390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Спостереження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екраном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відеотерміналу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(годин за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зміну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Монотонність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25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трив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роб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ня)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240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перерв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тривалість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94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важкості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</w:tr>
      <w:tr w:rsidR="00E57CB2" w:rsidRPr="00E57CB2" w:rsidTr="009F42DB">
        <w:trPr>
          <w:trHeight w:val="79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Стереотипні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робочі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рухи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зміну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- за локального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 за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навантаження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+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20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20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Робоча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поза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2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Нахили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корпуса 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</w:tr>
      <w:tr w:rsidR="00E57CB2" w:rsidRPr="00E57CB2" w:rsidTr="009F42DB">
        <w:trPr>
          <w:trHeight w:val="105"/>
          <w:jc w:val="center"/>
        </w:trPr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Переміщення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простор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км:</w:t>
            </w:r>
          </w:p>
          <w:p w:rsidR="00E57CB2" w:rsidRPr="00E57CB2" w:rsidRDefault="00E57CB2" w:rsidP="00E57CB2">
            <w:pPr>
              <w:spacing w:after="0" w:line="240" w:lineRule="auto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горизонталі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57CB2" w:rsidRPr="00E57CB2" w:rsidRDefault="00E57CB2" w:rsidP="00E57CB2">
            <w:pPr>
              <w:spacing w:after="0" w:line="105" w:lineRule="atLeast"/>
              <w:ind w:left="60" w:right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вертикалі</w:t>
            </w:r>
            <w:proofErr w:type="spell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105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++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0"/>
                <w:szCs w:val="20"/>
                <w:lang w:eastAsia="ru-RU"/>
              </w:rPr>
            </w:pPr>
          </w:p>
        </w:tc>
      </w:tr>
    </w:tbl>
    <w:p w:rsidR="00E57CB2" w:rsidRPr="00E57CB2" w:rsidRDefault="00E57CB2" w:rsidP="00E57CB2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Оцінка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ступенем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шкідливості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небезпечності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              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шкі</w:t>
      </w:r>
      <w:proofErr w:type="gram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длив</w:t>
      </w:r>
      <w:proofErr w:type="gram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E57CB2" w:rsidRPr="00E57CB2" w:rsidRDefault="00E57CB2" w:rsidP="00E57CB2">
      <w:pPr>
        <w:spacing w:after="0" w:line="240" w:lineRule="auto"/>
        <w:ind w:left="2130" w:firstLine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: за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ступенем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травмобезпечності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</w:t>
      </w:r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              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безпечні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7CB2" w:rsidRPr="00E57CB2" w:rsidRDefault="00E57CB2" w:rsidP="00E57CB2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Режими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відпочинку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рекомендуються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57CB2" w:rsidRPr="00E57CB2" w:rsidRDefault="00E57CB2" w:rsidP="00E57CB2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перерви,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регламентуються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gram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ривалість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        </w:t>
      </w:r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перерви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регламентовані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достатньої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тривалості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7 % і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більше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часу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зміни</w:t>
      </w:r>
      <w:proofErr w:type="spellEnd"/>
    </w:p>
    <w:p w:rsidR="00E57CB2" w:rsidRPr="00E57CB2" w:rsidRDefault="00E57CB2" w:rsidP="00E57CB2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необхідність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переміщення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однієї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операції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</w:t>
      </w:r>
      <w:proofErr w:type="spellEnd"/>
    </w:p>
    <w:p w:rsidR="00E57CB2" w:rsidRPr="00E57CB2" w:rsidRDefault="00E57CB2" w:rsidP="00E57CB2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(так,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№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                                                        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ні</w:t>
      </w:r>
      <w:proofErr w:type="spellEnd"/>
    </w:p>
    <w:p w:rsidR="00E57CB2" w:rsidRDefault="00E57CB2" w:rsidP="00E57CB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рекомендації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</w:p>
    <w:p w:rsidR="00E57CB2" w:rsidRPr="00E57CB2" w:rsidRDefault="00E57CB2" w:rsidP="00E57CB2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немає</w:t>
      </w:r>
      <w:proofErr w:type="spellEnd"/>
    </w:p>
    <w:p w:rsidR="00E57CB2" w:rsidRPr="00E57CB2" w:rsidRDefault="00E57CB2" w:rsidP="00E57CB2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 – 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Рекомендації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поліпшення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необхідність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додаткових</w:t>
      </w:r>
      <w:proofErr w:type="spell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</w:t>
      </w:r>
      <w:proofErr w:type="gramEnd"/>
      <w:r w:rsidRPr="00E57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іджень</w:t>
      </w:r>
      <w:proofErr w:type="spellEnd"/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2"/>
        <w:gridCol w:w="3000"/>
        <w:gridCol w:w="1458"/>
        <w:gridCol w:w="1860"/>
        <w:gridCol w:w="1710"/>
      </w:tblGrid>
      <w:tr w:rsidR="00E57CB2" w:rsidRPr="00E57CB2" w:rsidTr="00E57CB2">
        <w:trPr>
          <w:trHeight w:val="225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впровадження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Позначка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E57CB2" w:rsidRPr="00E57CB2" w:rsidTr="00E57CB2">
        <w:trPr>
          <w:trHeight w:val="345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ідвищити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</w:t>
            </w:r>
            <w:proofErr w:type="spellEnd"/>
            <w:r w:rsidRPr="00E5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CB2" w:rsidRPr="00E57CB2" w:rsidRDefault="00E57CB2" w:rsidP="00E57CB2">
            <w:pPr>
              <w:spacing w:after="0" w:line="240" w:lineRule="auto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57CB2" w:rsidRPr="00E57CB2" w:rsidRDefault="00E57CB2" w:rsidP="00E57C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7CB2" w:rsidRPr="00850776" w:rsidRDefault="00E57CB2" w:rsidP="00E57C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0776" w:rsidRPr="00850776" w:rsidRDefault="00850776" w:rsidP="00454A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776">
        <w:rPr>
          <w:rFonts w:ascii="Times New Roman" w:hAnsi="Times New Roman" w:cs="Times New Roman"/>
          <w:b/>
          <w:sz w:val="28"/>
          <w:szCs w:val="28"/>
          <w:lang w:val="uk-UA"/>
        </w:rPr>
        <w:t>https://cpo.stu.cn.ua/Oksana/dipl_bak/140.html</w:t>
      </w:r>
    </w:p>
    <w:p w:rsidR="008D0304" w:rsidRPr="008D0304" w:rsidRDefault="008D0304" w:rsidP="00454A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0304">
        <w:rPr>
          <w:rFonts w:ascii="Times New Roman" w:hAnsi="Times New Roman" w:cs="Times New Roman"/>
          <w:b/>
          <w:sz w:val="28"/>
          <w:szCs w:val="28"/>
          <w:lang w:val="uk-UA"/>
        </w:rPr>
        <w:t>https://studfile.net/preview/7773559/</w:t>
      </w:r>
    </w:p>
    <w:sectPr w:rsidR="008D0304" w:rsidRPr="008D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6F36"/>
    <w:multiLevelType w:val="hybridMultilevel"/>
    <w:tmpl w:val="D4F414B0"/>
    <w:lvl w:ilvl="0" w:tplc="545E1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47BC1"/>
    <w:multiLevelType w:val="multilevel"/>
    <w:tmpl w:val="F66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F16FF"/>
    <w:multiLevelType w:val="multilevel"/>
    <w:tmpl w:val="D256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22B4B"/>
    <w:multiLevelType w:val="multilevel"/>
    <w:tmpl w:val="4AE8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947E6"/>
    <w:multiLevelType w:val="hybridMultilevel"/>
    <w:tmpl w:val="0AF0F398"/>
    <w:lvl w:ilvl="0" w:tplc="C9E268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F1F04"/>
    <w:multiLevelType w:val="multilevel"/>
    <w:tmpl w:val="2764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24A09"/>
    <w:multiLevelType w:val="multilevel"/>
    <w:tmpl w:val="2530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F0797"/>
    <w:multiLevelType w:val="multilevel"/>
    <w:tmpl w:val="CC0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51"/>
    <w:rsid w:val="00143741"/>
    <w:rsid w:val="00146EF4"/>
    <w:rsid w:val="00170CF9"/>
    <w:rsid w:val="00196691"/>
    <w:rsid w:val="001F3260"/>
    <w:rsid w:val="0024072C"/>
    <w:rsid w:val="002479BD"/>
    <w:rsid w:val="002608C8"/>
    <w:rsid w:val="002B223C"/>
    <w:rsid w:val="00327271"/>
    <w:rsid w:val="00332005"/>
    <w:rsid w:val="00345C63"/>
    <w:rsid w:val="00370F2B"/>
    <w:rsid w:val="003B6FA4"/>
    <w:rsid w:val="003C110E"/>
    <w:rsid w:val="003C75BE"/>
    <w:rsid w:val="00417155"/>
    <w:rsid w:val="00454AC2"/>
    <w:rsid w:val="00472C26"/>
    <w:rsid w:val="004E34EC"/>
    <w:rsid w:val="00531297"/>
    <w:rsid w:val="0054584A"/>
    <w:rsid w:val="00550D14"/>
    <w:rsid w:val="005660A9"/>
    <w:rsid w:val="005F5C70"/>
    <w:rsid w:val="006563ED"/>
    <w:rsid w:val="006B3CC8"/>
    <w:rsid w:val="006D177A"/>
    <w:rsid w:val="006F5145"/>
    <w:rsid w:val="0073254B"/>
    <w:rsid w:val="00763D92"/>
    <w:rsid w:val="00775F58"/>
    <w:rsid w:val="007D04D6"/>
    <w:rsid w:val="007F42D8"/>
    <w:rsid w:val="00850776"/>
    <w:rsid w:val="008B3D46"/>
    <w:rsid w:val="008D0304"/>
    <w:rsid w:val="00911908"/>
    <w:rsid w:val="009228CB"/>
    <w:rsid w:val="00936458"/>
    <w:rsid w:val="00967485"/>
    <w:rsid w:val="0097700B"/>
    <w:rsid w:val="0098537B"/>
    <w:rsid w:val="009C32B4"/>
    <w:rsid w:val="009D2DAE"/>
    <w:rsid w:val="009D2E10"/>
    <w:rsid w:val="009F42DB"/>
    <w:rsid w:val="00A24C78"/>
    <w:rsid w:val="00A40DEE"/>
    <w:rsid w:val="00AB68A4"/>
    <w:rsid w:val="00AF1CFB"/>
    <w:rsid w:val="00B575A6"/>
    <w:rsid w:val="00B83D4A"/>
    <w:rsid w:val="00B968E4"/>
    <w:rsid w:val="00BD4F6B"/>
    <w:rsid w:val="00BF07FB"/>
    <w:rsid w:val="00C82B77"/>
    <w:rsid w:val="00C963DE"/>
    <w:rsid w:val="00CA1F72"/>
    <w:rsid w:val="00D075CD"/>
    <w:rsid w:val="00D22839"/>
    <w:rsid w:val="00D56751"/>
    <w:rsid w:val="00D75CA3"/>
    <w:rsid w:val="00DE6424"/>
    <w:rsid w:val="00DF1380"/>
    <w:rsid w:val="00DF341E"/>
    <w:rsid w:val="00E0744B"/>
    <w:rsid w:val="00E10AFF"/>
    <w:rsid w:val="00E57CB2"/>
    <w:rsid w:val="00E769C1"/>
    <w:rsid w:val="00EA6863"/>
    <w:rsid w:val="00ED2788"/>
    <w:rsid w:val="00F04233"/>
    <w:rsid w:val="00F221BD"/>
    <w:rsid w:val="00F60231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9</cp:revision>
  <dcterms:created xsi:type="dcterms:W3CDTF">2024-03-25T07:53:00Z</dcterms:created>
  <dcterms:modified xsi:type="dcterms:W3CDTF">2024-03-26T07:53:00Z</dcterms:modified>
</cp:coreProperties>
</file>