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6B" w:rsidRPr="00D66C7C" w:rsidRDefault="0005566B" w:rsidP="00D66C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C7C">
        <w:rPr>
          <w:rFonts w:ascii="Times New Roman" w:hAnsi="Times New Roman" w:cs="Times New Roman"/>
          <w:b/>
          <w:sz w:val="24"/>
          <w:szCs w:val="24"/>
        </w:rPr>
        <w:t>Основи пожежної безпеки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При експлуатації ЕОМ не виключена небезпека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ізного роду загорянь. У сучасних комп'ютерах дуже висока щільність розміщення елементів електронних систем, в безпосередній близькості один від одного розташовуються сполучні дроти, комунікаційні кабелі. При протіканні по них електричного струму виділяється значна кількість теплоти, що може привести до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ідвищення температури окремих вузлів до 80-100 "С. При цьому можливі оплавлення ізоляції сполучних проводів, їх оголення і, як наслідок, коротке замикання, яке супроводжується іскрінням, яке веде до неприпустимим перевантажень елементів електронних схем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еренагрівання, вони згорають з розбризкуванням іскор. Для відводу надлишкового тепла від ЕОМ служать системи вентиляції і кондиціонування повітря. Однак ці системи також представляють додаткову пожежну небезпеку для машинного залу та інших приміщень, так як, з одного боку, повітроводи забезпечують подачу кисню, що є окислювачем, в усі приміщення, а з іншого - при виникненні пожежі швидко поширюють вогонь і продукти горіння по всіх приміщеннях і пристроїв, з я</w:t>
      </w:r>
      <w:r w:rsidR="00F91566">
        <w:rPr>
          <w:rFonts w:ascii="Times New Roman" w:hAnsi="Times New Roman" w:cs="Times New Roman"/>
          <w:sz w:val="24"/>
          <w:szCs w:val="24"/>
        </w:rPr>
        <w:t xml:space="preserve">кими вони </w:t>
      </w:r>
      <w:proofErr w:type="gramStart"/>
      <w:r w:rsidR="00F91566">
        <w:rPr>
          <w:rFonts w:ascii="Times New Roman" w:hAnsi="Times New Roman" w:cs="Times New Roman"/>
          <w:sz w:val="24"/>
          <w:szCs w:val="24"/>
        </w:rPr>
        <w:t>пов'язан</w:t>
      </w:r>
      <w:proofErr w:type="gramEnd"/>
      <w:r w:rsidR="00F91566">
        <w:rPr>
          <w:rFonts w:ascii="Times New Roman" w:hAnsi="Times New Roman" w:cs="Times New Roman"/>
          <w:sz w:val="24"/>
          <w:szCs w:val="24"/>
        </w:rPr>
        <w:t xml:space="preserve">і. </w:t>
      </w:r>
      <w:r w:rsidR="00F91566">
        <w:rPr>
          <w:rFonts w:ascii="Times New Roman" w:hAnsi="Times New Roman" w:cs="Times New Roman"/>
          <w:sz w:val="24"/>
          <w:szCs w:val="24"/>
          <w:lang w:val="uk-UA"/>
        </w:rPr>
        <w:t>Живлення</w:t>
      </w:r>
      <w:r w:rsidRPr="0005566B">
        <w:rPr>
          <w:rFonts w:ascii="Times New Roman" w:hAnsi="Times New Roman" w:cs="Times New Roman"/>
          <w:sz w:val="24"/>
          <w:szCs w:val="24"/>
        </w:rPr>
        <w:t xml:space="preserve"> до електроустановок подається по кабельних лініях, які представляють особливу пожежну небезпеку. Наявність пального ізоляційного матеріалу, ймовірних джерел запалювання у вигляді електричних іскор і дуг, розгалуженість і важкодоступність роблять кабельні лінії місцями найбільш вірогідного виникнення і розвитку пожежі. Експлуатація ЕОМ пов'язана з необхідністю проведення обслуговуючих, ремонтних і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проф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ілактичних робіт. При цьому використовують різні мастильні матеріали, легкозаймисті рідини, прокладають тимчасові електропроводки, ведуть пайку і чистку окремих вузлів і деталей. Виникає додаткова пожежна небезпека, яка потребує відповідних заходів пожежної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проф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ілактики. Для попередження спалаху всі види кабелів слід прокладати в металевих газонаповнених трубах. У машинних залах кабельні лінії прокладають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ід технологічними знімними полами, які виконують з негорючих матеріалів з межею вогнестійкості не менше 0,5 год. У приміщеннях обчислювального центру пожежні крани встановлюють в коридорах, на майданчиках сходових клітин, біля входів. Ручні вуглекислотні вогнегасники встановлюють в приміщеннях з розрахунку один вогнегасник на 40-50 м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. У разі пожежі спрацьовує знаходиться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 приміщеннях автоматична установка пожежогасіння (АУП). Найчастіше застосовуються газові АУП. Вони забезпечені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ітловою та звуковою сигналізацією. Для запобігання поширенню вогню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ід час пожежі з однієї частини будівлі на іншу влаштовують протипожежні перешкоди у вигляді протипожежних стін, перегородок, перекриттів, зон, тамбурів-шлюзів, дверей, вікон, люків, клапанів. У будівлі на випадок виникнення пожежі передбачається не менше двох евакуаційних виходів; але через машинний зал, який має також не менше двох виходів, не повинні проходити шляхи евакуації співробітників, що працюють в інших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ідрозділах. В інших виробничих приміщеннях допускається проектувати один вихід, якщо відстань від найбільш віддаленого місця до виходу не перевищує 25 м, а кількість працюючих в зміні не більше 25 осіб. Проходи, коридори і робочі місця не слід захаращувати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арх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івними матеріалами, папером. На евакуаційних шляхах встановлюють як природне, так і штучне аварійне освітлення. Для зберігання носіїв інформації використовуються вогнетривкі металеві шафи, двері в сховище також повинні бути вогнетривкими. Комплекс організаційних і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ічних заходів пожежної профілактики дозволяє запобігти пожежі, а в разі його </w:t>
      </w:r>
      <w:r w:rsidRPr="0005566B">
        <w:rPr>
          <w:rFonts w:ascii="Times New Roman" w:hAnsi="Times New Roman" w:cs="Times New Roman"/>
          <w:sz w:val="24"/>
          <w:szCs w:val="24"/>
        </w:rPr>
        <w:lastRenderedPageBreak/>
        <w:t>виникнення забезпечити безпеку людей, обмежити поширення вогню, а також створити умови для успішного гасіння пожежі.</w:t>
      </w:r>
    </w:p>
    <w:p w:rsidR="0005566B" w:rsidRPr="00F91566" w:rsidRDefault="0005566B" w:rsidP="00D66C7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1566">
        <w:rPr>
          <w:rFonts w:ascii="Times New Roman" w:hAnsi="Times New Roman" w:cs="Times New Roman"/>
          <w:b/>
          <w:i/>
          <w:sz w:val="24"/>
          <w:szCs w:val="24"/>
        </w:rPr>
        <w:t xml:space="preserve">Основними причинами пожеж на </w:t>
      </w:r>
      <w:proofErr w:type="gramStart"/>
      <w:r w:rsidRPr="00F91566">
        <w:rPr>
          <w:rFonts w:ascii="Times New Roman" w:hAnsi="Times New Roman" w:cs="Times New Roman"/>
          <w:b/>
          <w:i/>
          <w:sz w:val="24"/>
          <w:szCs w:val="24"/>
        </w:rPr>
        <w:t>п</w:t>
      </w:r>
      <w:proofErr w:type="gramEnd"/>
      <w:r w:rsidRPr="00F91566">
        <w:rPr>
          <w:rFonts w:ascii="Times New Roman" w:hAnsi="Times New Roman" w:cs="Times New Roman"/>
          <w:b/>
          <w:i/>
          <w:sz w:val="24"/>
          <w:szCs w:val="24"/>
        </w:rPr>
        <w:t>ідприємствах є такі: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*необережне поводження з вогнем у побуті;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*порушення пожежних норм і правил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 технологічних процесах виробництва;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* неправильне облаштування систем опалення, вентиляції, електроустаткування;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* порушення норм і правил зберігання пожежонебезпечних несумісних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іалів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* порушення правил користування електрообладнанням;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* невиконання протипожежних заходів щодо обладнання пожежного водозабезпечення,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улаштування пожежної сигналізації, забезпечення первинними засобами пожежогасіння;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* використання відкритого вогню факелів, паяльних ламп, па¬ління у заборонених місцях;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* погане знання персоналом основ пожежної безпеки;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* порушення вимог протипожежного інструктажу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ід час ви¬конання робіт.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Таким чином,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абсолютна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 більшість пожеж виникає з вини людей.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Причиною пожежі також може стати коротке замикання в електричних мережах, струмові перевантаження проводів та електричних машин, великий перехідний опі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, розряди статичної та атмосферної електрики, електричні іскри.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До джерел відкритого вогню належить і полум’я сірників, необережне поводження з якими часто призводить до пожежі.</w:t>
      </w:r>
    </w:p>
    <w:p w:rsidR="0005566B" w:rsidRPr="00F91566" w:rsidRDefault="0005566B" w:rsidP="00D66C7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1566">
        <w:rPr>
          <w:rFonts w:ascii="Times New Roman" w:hAnsi="Times New Roman" w:cs="Times New Roman"/>
          <w:b/>
          <w:i/>
          <w:sz w:val="24"/>
          <w:szCs w:val="24"/>
        </w:rPr>
        <w:t xml:space="preserve">Організаційні та </w:t>
      </w:r>
      <w:proofErr w:type="gramStart"/>
      <w:r w:rsidRPr="00F91566">
        <w:rPr>
          <w:rFonts w:ascii="Times New Roman" w:hAnsi="Times New Roman" w:cs="Times New Roman"/>
          <w:b/>
          <w:i/>
          <w:sz w:val="24"/>
          <w:szCs w:val="24"/>
        </w:rPr>
        <w:t>техн</w:t>
      </w:r>
      <w:proofErr w:type="gramEnd"/>
      <w:r w:rsidRPr="00F91566">
        <w:rPr>
          <w:rFonts w:ascii="Times New Roman" w:hAnsi="Times New Roman" w:cs="Times New Roman"/>
          <w:b/>
          <w:i/>
          <w:sz w:val="24"/>
          <w:szCs w:val="24"/>
        </w:rPr>
        <w:t>ічні протипожежні заходи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Пожежна безпека — це стан об'єкта, за якого вилучається можливість пожежі. У разі виникнення пожежі вживаються необхідні заходи щодо усунення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негативного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 впливу небезпечних факторів пожежі на людей, споруди і матеріальні цінності.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Протипожежний режим — це комплекс встановлених норм і правил поведінки людей, виконання робіт і експлуатації об'єкта, спрямованих на забезпечення пожежної безпеки.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Пожежна безпека забезпечується організаційними,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ічними заходами.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566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 організаційних заходів належать: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* розробка правил, інструкцій, інструктажів з протипожежної безпеки;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* організація навчання та інструктування працівникі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;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* здійснення контролю за дотриманням протипожежного режиму;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* організація добровільних пожежних дружин;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lastRenderedPageBreak/>
        <w:t xml:space="preserve">* щоденна перевірка протипожежного стану приміщень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ісля закінчення роботи;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* організація перевірки належного стану пожежної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іки та інвентарю.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До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ічних заходів належать: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• дотримання пожежних норм, вимог та правил при влаштуванні будівель, споруд, складі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;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ідтримання у справному стані систем опалення, вентиляції, обладнання;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• улаштування автоматичної пожежної сигналізації, систем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автоматичного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 гасіння пожеж та пожежного водопостачання;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• заборона використання обладнання, пристрої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, приміщень та інструментів, що не відповідають вимогам протипожежної безпеки;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• правильна організація праці на робочих місцях з використанням пожежонебезпечних інструментів, приладі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, технологічних установок.</w:t>
      </w:r>
    </w:p>
    <w:p w:rsidR="0005566B" w:rsidRPr="00F91566" w:rsidRDefault="0005566B" w:rsidP="00D66C7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1566">
        <w:rPr>
          <w:rFonts w:ascii="Times New Roman" w:hAnsi="Times New Roman" w:cs="Times New Roman"/>
          <w:b/>
          <w:i/>
          <w:sz w:val="24"/>
          <w:szCs w:val="24"/>
        </w:rPr>
        <w:t>Протипожежний інструктаж та навчання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566B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 метою запобігання виникненню пожеж, їх поширенню та для боротьби з ними робітники, інженерно-технічні працівники проходять інструктажі й навчання за спеціальними програмами.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    Види протипожежних інструктажів:</w:t>
      </w:r>
    </w:p>
    <w:p w:rsidR="0005566B" w:rsidRPr="0005566B" w:rsidRDefault="00F91566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вступний;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• первинний;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5566B" w:rsidRPr="0005566B">
        <w:rPr>
          <w:rFonts w:ascii="Times New Roman" w:hAnsi="Times New Roman" w:cs="Times New Roman"/>
          <w:sz w:val="24"/>
          <w:szCs w:val="24"/>
        </w:rPr>
        <w:t xml:space="preserve">• повторний; </w:t>
      </w:r>
      <w:r w:rsidR="0005566B" w:rsidRPr="0005566B">
        <w:rPr>
          <w:rFonts w:ascii="Times New Roman" w:hAnsi="Times New Roman" w:cs="Times New Roman"/>
          <w:sz w:val="24"/>
          <w:szCs w:val="24"/>
        </w:rPr>
        <w:tab/>
      </w:r>
      <w:r w:rsidR="0005566B" w:rsidRPr="0005566B">
        <w:rPr>
          <w:rFonts w:ascii="Times New Roman" w:hAnsi="Times New Roman" w:cs="Times New Roman"/>
          <w:sz w:val="24"/>
          <w:szCs w:val="24"/>
        </w:rPr>
        <w:tab/>
        <w:t>• позаплановий.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    Вступний інструктаж проходять усі робітники, які приймаються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 роботу. Його проводить спеціальна особа, відповідальна за протипожежну безпеку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ідприємства, організації. При проведенні цього інструктажу працівників знайомлять з основними вимо¬гами Закону України «Про пожежну безпеку», з установленим на підприємстві протипожежним режимом, з найбільше пожежонебезпечними ділянками, де забороняється палити, використовувати відкритий вогонь, з практичними діями у разі виникнення пожежі, з можливими причинами виникнення пожеж і вибухі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 та заходами щодо їх запобігання.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    Первинний протипожежний інструктаж новоприйнятий робітник проходить на робочому місці перед початком роботи, а також при переміщенні з одного цеху до іншого, на іншу посаду,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спе¬ц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іальність або виробничу операцію.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ід час первинного інструктажу: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• знайомлять з пожежною безпекою цеху, ділянки, з правилами та інструкціями з пожежної безпеки;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• показують запасні виходи, оповіщувачі пожежної сигналізації, вогнегасники, засоби пожежогасіння;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перев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іряють практичні дії особи, яка інструктується на випадок пожежі.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lastRenderedPageBreak/>
        <w:t xml:space="preserve">Повторний інструктаж проводять безпосередньо в цеху двічі на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ік у термін, встановлений керівником підприємства, згідно з програмою первинного інструктажу на робочому місці.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Позаплановий протипожежний інструктаж проводиться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при зм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іні пожежної безпеки технологічного процесу, використанні нових пожежонебезпечних матеріалів, при самозайманні, загорянні та пожежах.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Навчання правил пожежної безпеки проводиться на виробництві, один раз на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ік.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Особи, яких приймають на роботу, пов’язаною з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ідвищеною пожежною небезпекою, проходять спеціальне навчання (пожежно технічний мінімум).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Пожежонебезпечні властивості речовин.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За здатністю горіти у пові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 (горючість) всі речовини поділяються на негорючі, важкогорючі й горючі. Горючі поділяють ще й на легкозаймисті та важкозаймисті речовини.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Негорючі речовини — це такі, що не здатні до займання й горіння в пові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 звичайного складу. До таких речовин відносять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- газоподібні (азот, хлор); -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ідкі (воду, перекис водню, соляну кислоту);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- тверді (перекис натрію, фосфати, борати, сульфати, хлориди металів);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- матеріали неорганічного походження, природні та штучні (червона та силікатна цегла, бетон, камінь, азбест, мінеральна вата, азбестовий цемент).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Важкогорючі речовини — це такі, що здатні горіти тільки під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ією джерела запалювання і горіння яких припиняється після його усунення. До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 речовин відносяться (фіброліт, деякі види пластмас, слабкі водні роз¬чини спиртів).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Горючими називаються речовини, що загораються від джерела запалювання та продовжують горіти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ісля його видалення. До таких речовин відносять газоподібні (водень, окис вуглецю, природний газ, метан);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ідкі (бензин, гас, толуол, спирти); тверді (деревина, пластмаса, натрій, калій)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До важкозаймистих відносять горючі речовини, які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ід час зберігання на відкритому повітрі або в приміщенні не займаються навіть за довготривалої дії джерела запалювання незначної енергії (полум'я сірника, іскри, розжареного електропровода).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До легкозаймистих відносять горючі матеріали, які на відкри¬тому пові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 або в приміщенні здатні без попереднього нагріву займатися від короткочасної дії джерела запалювання незначної енергії (полістірол, пінополіуретан).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Поняття вогнестійкості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Вогнестійкість — це здатність конструкцій,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іалів затри¬мувати поширення вогню. Вимірюється вогнестійкість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 годинах.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lastRenderedPageBreak/>
        <w:t>Усі будови і споруди за вогнестійкістю поділяються на 5 сту¬пені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. Ступінь вогнестійкості залежить від вогнестійкості та зай¬мистості будівельних конструкцій.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ім того, важливе значення має межа, до якої поширився вогонь по цих конструкціях у кож¬ному конкретному випадку.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У будівлях 1-го ступеня вогнестійкості всі конструктивні еле¬менти неспалимі, з високою межею вогнестійкості (1,5-3 год.);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2-го ступеня — також неспалимі, але з меншою межею вогне¬стійкості (0,5-2,5 год.);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3-го ступеня — буді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і, які мають основні несучі конструкції неспалимі, а ненесучі (міжповерхові й перекриття на горищі) — важкоспалимі (0,25-2 год.);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4-го ступеня — буді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і, які мають всі конструкції важкоспалимі (0,25-0,5 год.);</w:t>
      </w:r>
    </w:p>
    <w:p w:rsidR="0005566B" w:rsidRPr="0005566B" w:rsidRDefault="0005566B" w:rsidP="00D66C7C">
      <w:pPr>
        <w:jc w:val="both"/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5-го ступеня — всі конструкції спалимі.</w:t>
      </w:r>
    </w:p>
    <w:p w:rsidR="0005566B" w:rsidRPr="00F91566" w:rsidRDefault="00F91566" w:rsidP="00F9156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91566">
        <w:rPr>
          <w:rFonts w:ascii="Times New Roman" w:hAnsi="Times New Roman" w:cs="Times New Roman"/>
          <w:b/>
          <w:sz w:val="24"/>
          <w:szCs w:val="24"/>
          <w:lang w:val="uk-UA"/>
        </w:rPr>
        <w:t>ПРИКЛАД       ІНСТРУКЦІЇ    З  ПОЖЕЖНОЇ  БЕЗПЕКИ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Погоджено                                                                               Затверджено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Начальник Галицького РВ м. Львова                                    наказом ректора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ГУ ДСНС України                                                                    Львівського національного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у Львівській області                                                                 університету імені Івана Франка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                                 Г. Загальський                                          № 0-127 від 19.11. 2018 року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« 12 » листопада 2018 року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 Інструкцію розроблено відповідно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 до Правил пожежної безпеки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 навчальних закладі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 та установ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системи освіти України (наказ МОН</w:t>
      </w:r>
      <w:proofErr w:type="gramEnd"/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№ 974 від 15.08.2016 року)</w:t>
      </w:r>
      <w:proofErr w:type="gramEnd"/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</w:p>
    <w:p w:rsidR="0005566B" w:rsidRPr="00F91566" w:rsidRDefault="0005566B" w:rsidP="00F915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66B" w:rsidRPr="00F91566" w:rsidRDefault="0005566B" w:rsidP="00F915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566">
        <w:rPr>
          <w:rFonts w:ascii="Times New Roman" w:hAnsi="Times New Roman" w:cs="Times New Roman"/>
          <w:b/>
          <w:sz w:val="24"/>
          <w:szCs w:val="24"/>
        </w:rPr>
        <w:t>Типова інструкція №…</w:t>
      </w:r>
    </w:p>
    <w:p w:rsidR="0005566B" w:rsidRPr="00F91566" w:rsidRDefault="0005566B" w:rsidP="00F915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566">
        <w:rPr>
          <w:rFonts w:ascii="Times New Roman" w:hAnsi="Times New Roman" w:cs="Times New Roman"/>
          <w:b/>
          <w:sz w:val="24"/>
          <w:szCs w:val="24"/>
        </w:rPr>
        <w:t>щодо заходів пожежної безпеки для приміщень обчислювальних центрі</w:t>
      </w:r>
      <w:proofErr w:type="gramStart"/>
      <w:r w:rsidRPr="00F91566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F91566">
        <w:rPr>
          <w:rFonts w:ascii="Times New Roman" w:hAnsi="Times New Roman" w:cs="Times New Roman"/>
          <w:b/>
          <w:sz w:val="24"/>
          <w:szCs w:val="24"/>
        </w:rPr>
        <w:t>,</w:t>
      </w:r>
    </w:p>
    <w:p w:rsidR="0005566B" w:rsidRPr="00F91566" w:rsidRDefault="0005566B" w:rsidP="00F915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566">
        <w:rPr>
          <w:rFonts w:ascii="Times New Roman" w:hAnsi="Times New Roman" w:cs="Times New Roman"/>
          <w:b/>
          <w:sz w:val="24"/>
          <w:szCs w:val="24"/>
        </w:rPr>
        <w:t>комп’ютерних класів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Львівського національного університету імені Івана Франка</w:t>
      </w:r>
    </w:p>
    <w:p w:rsidR="00D66C7C" w:rsidRPr="00F91566" w:rsidRDefault="0005566B" w:rsidP="00F9156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91566">
        <w:rPr>
          <w:rFonts w:ascii="Times New Roman" w:hAnsi="Times New Roman" w:cs="Times New Roman"/>
          <w:b/>
          <w:sz w:val="24"/>
          <w:szCs w:val="24"/>
        </w:rPr>
        <w:lastRenderedPageBreak/>
        <w:t>І. Галузь застосування</w:t>
      </w:r>
    </w:p>
    <w:p w:rsidR="0005566B" w:rsidRPr="00D66C7C" w:rsidRDefault="0005566B" w:rsidP="0005566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66C7C">
        <w:rPr>
          <w:rFonts w:ascii="Times New Roman" w:hAnsi="Times New Roman" w:cs="Times New Roman"/>
          <w:sz w:val="24"/>
          <w:szCs w:val="24"/>
          <w:lang w:val="uk-UA"/>
        </w:rPr>
        <w:t>Ця інструкція поширюється на всі приміщення обчислювальних центрів, комп’ютерних класів Університету і визначає вимоги щодо забезпечення пожежної безпеки в них, порядок дій у разі виникнення пожежі та є обов’язковою для вивчення і виконання особами, відповідальними за пожежну безпеку  та всіма працівниками і відвідувачами, які перебувають у цих приміщеннях.</w:t>
      </w:r>
    </w:p>
    <w:p w:rsidR="0005566B" w:rsidRPr="00F91566" w:rsidRDefault="0005566B" w:rsidP="00F915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566">
        <w:rPr>
          <w:rFonts w:ascii="Times New Roman" w:hAnsi="Times New Roman" w:cs="Times New Roman"/>
          <w:b/>
          <w:sz w:val="24"/>
          <w:szCs w:val="24"/>
        </w:rPr>
        <w:t>ІІ. Вимоги пожежної безпеки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 Забезпечення пожежної безпеки для обчислювальних центрів, комп’ютерних класів здійснюється відповідно до вимог Правил охорони праці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ід час експлуатації електронно-обчислювальних машин (наказ ДКУ з промислової безпеки, охорони праці та гірничого нагляду від 26.03.2010р. №65). Усі працівники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ід час прийняття на роботу та у процесі праці повинні бути ознайомлені з правилами пожежної безпеки, проходити протипожежні інструктажі та перевірку знань з питань пожежної безпеки. Усі приміщення обчислювальних центрів, комп’ютерних класів мають бути обладнані системами протипожежного захист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СПЗ).  Автоматична пожежна сигналізація повинна бути завжди у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вв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імкненому, черговому стані. Електроживлення електронно-обчислювальних машин (комп’ютерів) повинно мати автоматичне блокування відключення електроенергії на випадок зупинки системи охолодження та кондиціонування. Сховища носіїв інформації в обчислювальних центрах слід розміщувати у відокремлених приміщеннях, обладнаних негорючими стелажами й шафами. Носії інформації необхідно зберігати на стелажах у металевих касетах. Не допускається вбудовувати шафи в машинних залах ЕОМ для зберігання будьяких інших матеріалів і предметів. Система вентиляції обчислювальних центрів, комп’ютерних класів повинна бути обладнана блокувальним пристроєм, який забезпечує її відключення на випадок пожежі. Фільтри припливно-витяжної вентиляції слід чистити згідно з затвердженим графіком, але не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ідше двох разів на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ік. Для промивання деталей ЕОМ необхідно застосовувати, як правило, негорючі миючі препарати. Чарунки та інші знімні пристрої допускається промивати горючими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ідинами тільки в спеціальному приміщенні,обладнаному припливно-витяжною вентиляцією.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Проф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ілактичне промивання ЕОМ та контрольно-вимірювальної апаратури з застосуванням ЛЗР та ГР в кожному окремому випадку проводиться лише з письмового дозволу начальника обчислювального центру. Будь-які перепланування, зміни функціонального призначення приміщень обчислювальних центрів, комп’ютерних класів Університету здійснюються тільки за наявності проектної документації, яка пройшла попередню експертизу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 відповідність нормативним актам з питань пожежної безпеки з позитивним результатом в органах державного пожежного нагляду. Меблі та обладнання мають розміщуватися таким чином, щоб забезпечувався вільний евакуаційний прохід до дверей виходу з приміщення (завширшки не менше 1 м). Евакуаційні шляхи та виходи необхідно постійно утримувати вільними, нічим не захаращувати.  У міру накопичення та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ісля закінчення роботи горючі відходи слід прибирати у спеціально відведені сміттєзбірники. Електромережі, електроприлади і апаратура повинні експлуатуватися тільки у справному стані з урахуванням вказівок та рекомендацій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ідприємств-виготовлювачів. У разі виявлення пошкоджень електромереж, вимикачів, розеток та інших електровиробів, слід негайно вимкнути їх та вжити необхідних заходів щодо приведення у пожежобезпечний стан. Документи, папі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 та інші горючі матеріали слід </w:t>
      </w:r>
      <w:r w:rsidRPr="0005566B">
        <w:rPr>
          <w:rFonts w:ascii="Times New Roman" w:hAnsi="Times New Roman" w:cs="Times New Roman"/>
          <w:sz w:val="24"/>
          <w:szCs w:val="24"/>
        </w:rPr>
        <w:lastRenderedPageBreak/>
        <w:t xml:space="preserve">зберігати на відстані не менше 1 м від електрощитів і електрокабелів; 0,5 м від електросвітильників; 0,6 м від сповіщувачів автоматичної пожежної сигналізації та 0,15 м від приладів центрального водяного опалення. 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Засоби протипожежного захисту слід утримувати у справному стані. Усі працівники повинні вміти користуватись наявними вогнегасниками, іншими первинними засобами пожежогасіння, знати місце їх знаходження.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 Відстань від найбільш віддаленого місця приміщення до місця розташування вогнегасника не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повинна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 перевищувати 20 м. 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       У комп’ютерних класах не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допускається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: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- влаштовувати тимчасові електромережі, прокладати електричні проводи безпосередньо по горючій основі, експлуатувати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ітильники зі знятими ковпаками (розсіювачами);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- захаращувати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ідступи до засобів пожежогасіння;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- курити, використовувати легкозаймисті </w:t>
      </w:r>
      <w:bookmarkStart w:id="0" w:name="_GoBack"/>
      <w:bookmarkEnd w:id="0"/>
      <w:proofErr w:type="gramStart"/>
      <w:r w:rsidRPr="0005566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ідини;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- проводити вогневі, зварювальні та інші роботи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 спеціального дозволу;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- вмикати електронагрівальні прилади;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- залишати без нагляду електричну апаратуру, що використовується;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- використовувати килими та доріжки із синтетичних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іалів;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- ставити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 вікна глухі грати (в разі потреби встановлюються грати, що розкриваються зсередини).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Відпові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дальний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 за пожежну безпеку у приміщенні комп’ютерного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класу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ізвище, ініціали)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      Відповідальний за пожежну безпеку в приміщенні комп’ютерного класу (обчислювального центру)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ісля закінчення роботи зобов’язаний: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- ретельно оглянути приміщення, робочі місця, переконатись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 відсутності порушень, що можуть призвести до виникнення пожежі;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- вимкнути освітлення, знеструмити прилади та устаткування (за винятком електрообладнання,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яке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 за вимогами технології повинно працювати цілодобово);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перев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ірити справність автоматичних установок пожежної автоматики.</w:t>
      </w:r>
    </w:p>
    <w:p w:rsidR="0005566B" w:rsidRPr="00F91566" w:rsidRDefault="0005566B" w:rsidP="00F915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566">
        <w:rPr>
          <w:rFonts w:ascii="Times New Roman" w:hAnsi="Times New Roman" w:cs="Times New Roman"/>
          <w:b/>
          <w:sz w:val="24"/>
          <w:szCs w:val="24"/>
        </w:rPr>
        <w:t xml:space="preserve">ІІІ. Обов’язки та дії працівників обчислювальних центрів, комп’ютерних класів </w:t>
      </w:r>
      <w:proofErr w:type="gramStart"/>
      <w:r w:rsidRPr="00F91566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Pr="00F91566">
        <w:rPr>
          <w:rFonts w:ascii="Times New Roman" w:hAnsi="Times New Roman" w:cs="Times New Roman"/>
          <w:b/>
          <w:sz w:val="24"/>
          <w:szCs w:val="24"/>
        </w:rPr>
        <w:t xml:space="preserve"> разі виникнення пожежі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 У разі виявлення пожежі або її ознак ( задимлення, запах горіння або тління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ізних матеріалів тощо), кожен працівник зобов’язаний: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- оцінити обстановку і негайно повідомити про це найближчий пожежнорятувальний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ідрозділ за тел. 101 (112). При цьому необхідно назвати: адресу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lastRenderedPageBreak/>
        <w:t>об’єкта, вказати кількість поверхів буді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і, місце виникнення пожежі,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обстановку на пожежі, наявність людей, а також повідомити своє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ізвище;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- вимкнути з мережі прилади електропостачання та систему вентиляції;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- задіяти систему оповіщення людей про пожежу;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- повідомити про виникнення пожежі керівника структурного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ідрозділу або особу, що його заміщує і відділ сторожової охорони Університету за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тел………..;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- вжити (по можливості) заходів до евакуації людей та збереження матеріальних цінностей, розпочати гасіння пожежі наявними первинними засобами пожежогасіння;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- організувати зустріч пожежно-рятувальних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ідрозділів.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 Посадова особа об’єкта, що прибула на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ісце пожежі, зобов’язана: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- перевірити, чи повідомлено пожежно-рятувальний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ідрозділ про виникнення пожежі (продублювати повідомлення);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- здійснювати керівництво гасінням пожежі до прибуття пожежно-рятувальних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ідрозділів. У разі загрози життю учасників освітнього процесу, негайно організувати їх рятування (евакуацію), використовуючи для цього всі наявні сили і засоби;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- зупинити навчальний процес і роботи в буді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і, крім робіт, пов’язаних із заходами щодо ліквідації пожежі;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- відключити мережі електр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 і газопостачання (за винятком системи протипожежного захисту), системи вентиляції та кондиціонування повітря (за винятком пристроїв проти димного захисту) і здійснити інші заходи, що сприяють запобіганню поширення пожежі;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- організувати перевірку наявності всіх учасників освітнього процесу, евакуйованих з буді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і, за списками і журналами обліку навчальних занять;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 xml:space="preserve"> разі потреби, викликати до місця пожежі медичну та інші служби;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- організувати зустріч пожежно-рятувальних 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ідрозділів і забезпечити безперешкодний їх доступ до місця виникнення пожежі;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- доповісти ректору про вжиті заходи щодо ліквідації пожежі і евакуації людей.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Телефони: Відділ з питань ПБ та ЦЗ – …………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 Відділ служби охорони – …………………………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 xml:space="preserve"> Головний інженер - ………………….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Начальник відділу з питань пожежної безпеки</w:t>
      </w:r>
    </w:p>
    <w:p w:rsidR="0005566B" w:rsidRPr="0005566B" w:rsidRDefault="0005566B" w:rsidP="0005566B">
      <w:pPr>
        <w:rPr>
          <w:rFonts w:ascii="Times New Roman" w:hAnsi="Times New Roman" w:cs="Times New Roman"/>
          <w:sz w:val="24"/>
          <w:szCs w:val="24"/>
        </w:rPr>
      </w:pPr>
      <w:r w:rsidRPr="0005566B">
        <w:rPr>
          <w:rFonts w:ascii="Times New Roman" w:hAnsi="Times New Roman" w:cs="Times New Roman"/>
          <w:sz w:val="24"/>
          <w:szCs w:val="24"/>
        </w:rPr>
        <w:t>та цивільного захисту  __________________</w:t>
      </w:r>
      <w:proofErr w:type="gramStart"/>
      <w:r w:rsidRPr="0005566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566B">
        <w:rPr>
          <w:rFonts w:ascii="Times New Roman" w:hAnsi="Times New Roman" w:cs="Times New Roman"/>
          <w:sz w:val="24"/>
          <w:szCs w:val="24"/>
        </w:rPr>
        <w:t>ІБ</w:t>
      </w:r>
    </w:p>
    <w:p w:rsidR="00F04233" w:rsidRPr="0005566B" w:rsidRDefault="00F04233">
      <w:pPr>
        <w:rPr>
          <w:rFonts w:ascii="Times New Roman" w:hAnsi="Times New Roman" w:cs="Times New Roman"/>
          <w:sz w:val="24"/>
          <w:szCs w:val="24"/>
        </w:rPr>
      </w:pPr>
    </w:p>
    <w:sectPr w:rsidR="00F04233" w:rsidRPr="00055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D33"/>
    <w:rsid w:val="0005566B"/>
    <w:rsid w:val="00143741"/>
    <w:rsid w:val="00146EF4"/>
    <w:rsid w:val="00170CF9"/>
    <w:rsid w:val="00196691"/>
    <w:rsid w:val="001F3260"/>
    <w:rsid w:val="0024072C"/>
    <w:rsid w:val="002608C8"/>
    <w:rsid w:val="00327271"/>
    <w:rsid w:val="00332005"/>
    <w:rsid w:val="00345C63"/>
    <w:rsid w:val="003A3FE2"/>
    <w:rsid w:val="003B6FA4"/>
    <w:rsid w:val="003C110E"/>
    <w:rsid w:val="003C75BE"/>
    <w:rsid w:val="00417155"/>
    <w:rsid w:val="00472C26"/>
    <w:rsid w:val="004E34EC"/>
    <w:rsid w:val="00531297"/>
    <w:rsid w:val="00550D14"/>
    <w:rsid w:val="005660A9"/>
    <w:rsid w:val="005F5C70"/>
    <w:rsid w:val="006563ED"/>
    <w:rsid w:val="006B3CC8"/>
    <w:rsid w:val="006D177A"/>
    <w:rsid w:val="006F5145"/>
    <w:rsid w:val="00763D92"/>
    <w:rsid w:val="00775F58"/>
    <w:rsid w:val="007F42D8"/>
    <w:rsid w:val="008B3D46"/>
    <w:rsid w:val="00911908"/>
    <w:rsid w:val="009228CB"/>
    <w:rsid w:val="00936458"/>
    <w:rsid w:val="00967485"/>
    <w:rsid w:val="0097700B"/>
    <w:rsid w:val="0098537B"/>
    <w:rsid w:val="009C32B4"/>
    <w:rsid w:val="009D2DAE"/>
    <w:rsid w:val="00A24C78"/>
    <w:rsid w:val="00A40DEE"/>
    <w:rsid w:val="00AB68A4"/>
    <w:rsid w:val="00B575A6"/>
    <w:rsid w:val="00B83D4A"/>
    <w:rsid w:val="00B968E4"/>
    <w:rsid w:val="00BD1D33"/>
    <w:rsid w:val="00BD4F6B"/>
    <w:rsid w:val="00BF07FB"/>
    <w:rsid w:val="00C82B77"/>
    <w:rsid w:val="00C963DE"/>
    <w:rsid w:val="00CA1F72"/>
    <w:rsid w:val="00D075CD"/>
    <w:rsid w:val="00D22839"/>
    <w:rsid w:val="00D66C7C"/>
    <w:rsid w:val="00D75CA3"/>
    <w:rsid w:val="00DE6424"/>
    <w:rsid w:val="00DF1380"/>
    <w:rsid w:val="00DF341E"/>
    <w:rsid w:val="00E0744B"/>
    <w:rsid w:val="00E769C1"/>
    <w:rsid w:val="00EA6863"/>
    <w:rsid w:val="00ED2788"/>
    <w:rsid w:val="00F04233"/>
    <w:rsid w:val="00F221BD"/>
    <w:rsid w:val="00F60231"/>
    <w:rsid w:val="00F91566"/>
    <w:rsid w:val="00FA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2861</Words>
  <Characters>16311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4</cp:revision>
  <dcterms:created xsi:type="dcterms:W3CDTF">2024-03-18T12:56:00Z</dcterms:created>
  <dcterms:modified xsi:type="dcterms:W3CDTF">2024-03-18T13:11:00Z</dcterms:modified>
</cp:coreProperties>
</file>