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539D" w14:textId="77777777" w:rsidR="00C14700" w:rsidRPr="00B5364C" w:rsidRDefault="00C14700" w:rsidP="0063551D">
      <w:pPr>
        <w:spacing w:after="80"/>
        <w:jc w:val="center"/>
        <w:rPr>
          <w:b/>
          <w:sz w:val="28"/>
          <w:szCs w:val="28"/>
          <w:lang w:val="ru-RU"/>
        </w:rPr>
      </w:pPr>
      <w:r w:rsidRPr="00B5364C">
        <w:rPr>
          <w:b/>
          <w:bCs/>
          <w:sz w:val="28"/>
          <w:szCs w:val="28"/>
        </w:rPr>
        <w:t>ПОЯСН</w:t>
      </w:r>
      <w:r w:rsidR="009356FE" w:rsidRPr="00B5364C">
        <w:rPr>
          <w:b/>
          <w:bCs/>
          <w:sz w:val="28"/>
          <w:szCs w:val="28"/>
        </w:rPr>
        <w:t>ЮВАЛЬНА ЗАПИСКА</w:t>
      </w:r>
    </w:p>
    <w:p w14:paraId="7A9E6867" w14:textId="77777777" w:rsidR="009C0FCC" w:rsidRPr="00B5364C" w:rsidRDefault="009C0FCC" w:rsidP="007F005C">
      <w:pPr>
        <w:pStyle w:val="xmsonormal"/>
        <w:shd w:val="clear" w:color="auto" w:fill="FFFFFF" w:themeFill="background1"/>
        <w:spacing w:before="0" w:beforeAutospacing="0" w:after="0" w:afterAutospacing="0"/>
        <w:jc w:val="center"/>
        <w:rPr>
          <w:b/>
          <w:sz w:val="28"/>
          <w:szCs w:val="28"/>
        </w:rPr>
      </w:pPr>
      <w:r w:rsidRPr="00B5364C">
        <w:rPr>
          <w:b/>
          <w:sz w:val="28"/>
          <w:szCs w:val="28"/>
        </w:rPr>
        <w:t>до</w:t>
      </w:r>
      <w:r w:rsidR="00C14700" w:rsidRPr="00B5364C">
        <w:rPr>
          <w:b/>
          <w:sz w:val="28"/>
          <w:szCs w:val="28"/>
        </w:rPr>
        <w:t xml:space="preserve"> проекту Закону України</w:t>
      </w:r>
      <w:r w:rsidR="00D91E48" w:rsidRPr="00B5364C">
        <w:rPr>
          <w:b/>
          <w:sz w:val="28"/>
          <w:szCs w:val="28"/>
        </w:rPr>
        <w:t xml:space="preserve"> </w:t>
      </w:r>
      <w:r w:rsidR="004D498E" w:rsidRPr="00B5364C">
        <w:rPr>
          <w:b/>
          <w:sz w:val="28"/>
          <w:szCs w:val="28"/>
        </w:rPr>
        <w:t>«</w:t>
      </w:r>
      <w:r w:rsidR="00C14700" w:rsidRPr="00B5364C">
        <w:rPr>
          <w:b/>
          <w:sz w:val="28"/>
          <w:szCs w:val="28"/>
        </w:rPr>
        <w:t xml:space="preserve">Про </w:t>
      </w:r>
      <w:r w:rsidR="00BF489B" w:rsidRPr="00B5364C">
        <w:rPr>
          <w:b/>
          <w:sz w:val="28"/>
          <w:szCs w:val="28"/>
        </w:rPr>
        <w:t>Державний бюджет України на 202</w:t>
      </w:r>
      <w:r w:rsidR="003B7D0D" w:rsidRPr="00B5364C">
        <w:rPr>
          <w:b/>
          <w:sz w:val="28"/>
          <w:szCs w:val="28"/>
          <w:lang w:val="ru-RU"/>
        </w:rPr>
        <w:t>4</w:t>
      </w:r>
      <w:r w:rsidR="00C14700" w:rsidRPr="00B5364C">
        <w:rPr>
          <w:b/>
          <w:sz w:val="28"/>
          <w:szCs w:val="28"/>
        </w:rPr>
        <w:t> рік</w:t>
      </w:r>
      <w:r w:rsidR="004D498E" w:rsidRPr="00B5364C">
        <w:rPr>
          <w:b/>
          <w:sz w:val="28"/>
          <w:szCs w:val="28"/>
        </w:rPr>
        <w:t>»</w:t>
      </w:r>
    </w:p>
    <w:p w14:paraId="2A18245E" w14:textId="77777777" w:rsidR="004D0CB6" w:rsidRPr="006F5A3B" w:rsidRDefault="004D0CB6" w:rsidP="007F005C">
      <w:pPr>
        <w:shd w:val="clear" w:color="auto" w:fill="FFFFFF" w:themeFill="background1"/>
        <w:ind w:firstLine="567"/>
        <w:jc w:val="both"/>
        <w:rPr>
          <w:sz w:val="28"/>
          <w:szCs w:val="28"/>
        </w:rPr>
      </w:pPr>
    </w:p>
    <w:p w14:paraId="7B37E1D1" w14:textId="77777777" w:rsidR="009C0FCC" w:rsidRPr="006F5A3B" w:rsidRDefault="009C0FCC" w:rsidP="00837748">
      <w:pPr>
        <w:shd w:val="clear" w:color="auto" w:fill="FFFFFF" w:themeFill="background1"/>
        <w:spacing w:after="120"/>
        <w:ind w:firstLine="567"/>
        <w:jc w:val="both"/>
        <w:rPr>
          <w:sz w:val="28"/>
          <w:szCs w:val="28"/>
        </w:rPr>
      </w:pPr>
      <w:r w:rsidRPr="006F5A3B">
        <w:rPr>
          <w:sz w:val="28"/>
          <w:szCs w:val="28"/>
        </w:rPr>
        <w:t xml:space="preserve">Проект Закону України </w:t>
      </w:r>
      <w:r w:rsidR="004D498E" w:rsidRPr="006F5A3B">
        <w:rPr>
          <w:sz w:val="28"/>
          <w:szCs w:val="28"/>
        </w:rPr>
        <w:t>«</w:t>
      </w:r>
      <w:r w:rsidRPr="006F5A3B">
        <w:rPr>
          <w:sz w:val="28"/>
          <w:szCs w:val="28"/>
        </w:rPr>
        <w:t>Про Державний бюджет України на 202</w:t>
      </w:r>
      <w:r w:rsidR="003B7D0D" w:rsidRPr="006F5A3B">
        <w:rPr>
          <w:sz w:val="28"/>
          <w:szCs w:val="28"/>
          <w:lang w:val="ru-RU"/>
        </w:rPr>
        <w:t>4</w:t>
      </w:r>
      <w:r w:rsidRPr="006F5A3B">
        <w:rPr>
          <w:sz w:val="28"/>
          <w:szCs w:val="28"/>
        </w:rPr>
        <w:t> рік</w:t>
      </w:r>
      <w:r w:rsidR="004D498E" w:rsidRPr="006F5A3B">
        <w:rPr>
          <w:sz w:val="28"/>
          <w:szCs w:val="28"/>
        </w:rPr>
        <w:t>»</w:t>
      </w:r>
      <w:r w:rsidR="00A046BF" w:rsidRPr="006F5A3B">
        <w:rPr>
          <w:sz w:val="28"/>
          <w:szCs w:val="28"/>
        </w:rPr>
        <w:t xml:space="preserve"> </w:t>
      </w:r>
      <w:r w:rsidRPr="006F5A3B">
        <w:rPr>
          <w:sz w:val="28"/>
          <w:szCs w:val="28"/>
        </w:rPr>
        <w:t xml:space="preserve">доопрацьовано з урахуванням Бюджетних висновків Верховної Ради України, схвалених постановою Верховної Ради України </w:t>
      </w:r>
      <w:r w:rsidR="00852F36" w:rsidRPr="006F5A3B">
        <w:rPr>
          <w:sz w:val="28"/>
          <w:szCs w:val="28"/>
          <w:lang w:eastAsia="en-US"/>
        </w:rPr>
        <w:t xml:space="preserve">від </w:t>
      </w:r>
      <w:r w:rsidR="00852F36" w:rsidRPr="006F5A3B">
        <w:rPr>
          <w:sz w:val="28"/>
          <w:szCs w:val="28"/>
        </w:rPr>
        <w:t>19.10.2023 № 3421-</w:t>
      </w:r>
      <w:r w:rsidR="00852F36" w:rsidRPr="00DA4DD5">
        <w:rPr>
          <w:sz w:val="28"/>
          <w:szCs w:val="28"/>
          <w:lang w:val="ru-RU"/>
        </w:rPr>
        <w:t>IX</w:t>
      </w:r>
      <w:r w:rsidR="00852F36" w:rsidRPr="00DA4DD5">
        <w:rPr>
          <w:i/>
          <w:sz w:val="28"/>
          <w:szCs w:val="28"/>
        </w:rPr>
        <w:t xml:space="preserve"> </w:t>
      </w:r>
      <w:r w:rsidRPr="00DA4DD5">
        <w:rPr>
          <w:i/>
          <w:sz w:val="28"/>
          <w:szCs w:val="28"/>
        </w:rPr>
        <w:t>(далі – Бюджетні висновки Верховної Ради України)</w:t>
      </w:r>
      <w:r w:rsidR="00CE4F8B" w:rsidRPr="00DA4DD5">
        <w:rPr>
          <w:sz w:val="28"/>
          <w:szCs w:val="28"/>
        </w:rPr>
        <w:t>,</w:t>
      </w:r>
      <w:r w:rsidRPr="00DA4DD5">
        <w:rPr>
          <w:sz w:val="28"/>
          <w:szCs w:val="28"/>
        </w:rPr>
        <w:t xml:space="preserve"> та </w:t>
      </w:r>
      <w:r w:rsidR="00B7330C" w:rsidRPr="00DA4DD5">
        <w:rPr>
          <w:color w:val="000000"/>
          <w:sz w:val="28"/>
          <w:szCs w:val="28"/>
          <w:lang w:eastAsia="uk-UA"/>
        </w:rPr>
        <w:t>пропозицій головних розпорядників коштів державного бюджету</w:t>
      </w:r>
      <w:r w:rsidRPr="00DA4DD5">
        <w:rPr>
          <w:sz w:val="28"/>
          <w:szCs w:val="28"/>
        </w:rPr>
        <w:t xml:space="preserve"> щодо доопрацювання держ</w:t>
      </w:r>
      <w:r w:rsidRPr="006F5A3B">
        <w:rPr>
          <w:sz w:val="28"/>
          <w:szCs w:val="28"/>
        </w:rPr>
        <w:t>авного бюджету на 202</w:t>
      </w:r>
      <w:r w:rsidR="00C22CE4" w:rsidRPr="006F5A3B">
        <w:rPr>
          <w:sz w:val="28"/>
          <w:szCs w:val="28"/>
        </w:rPr>
        <w:t>4</w:t>
      </w:r>
      <w:r w:rsidR="00E07866" w:rsidRPr="006F5A3B">
        <w:rPr>
          <w:sz w:val="28"/>
          <w:szCs w:val="28"/>
        </w:rPr>
        <w:t> </w:t>
      </w:r>
      <w:r w:rsidRPr="006F5A3B">
        <w:rPr>
          <w:sz w:val="28"/>
          <w:szCs w:val="28"/>
        </w:rPr>
        <w:t xml:space="preserve">рік до </w:t>
      </w:r>
      <w:r w:rsidR="00453865" w:rsidRPr="006F5A3B">
        <w:rPr>
          <w:sz w:val="28"/>
          <w:szCs w:val="28"/>
        </w:rPr>
        <w:t xml:space="preserve">другого </w:t>
      </w:r>
      <w:r w:rsidRPr="006F5A3B">
        <w:rPr>
          <w:sz w:val="28"/>
          <w:szCs w:val="28"/>
        </w:rPr>
        <w:t>читання.</w:t>
      </w:r>
    </w:p>
    <w:p w14:paraId="29DF0D8E" w14:textId="77777777" w:rsidR="004D0CB6" w:rsidRPr="006F5A3B" w:rsidRDefault="004D0CB6" w:rsidP="00837748">
      <w:pPr>
        <w:shd w:val="clear" w:color="auto" w:fill="FFFFFF" w:themeFill="background1"/>
        <w:spacing w:after="120"/>
        <w:ind w:firstLine="567"/>
        <w:jc w:val="both"/>
        <w:rPr>
          <w:sz w:val="28"/>
          <w:szCs w:val="28"/>
        </w:rPr>
      </w:pPr>
      <w:r w:rsidRPr="006F5A3B">
        <w:rPr>
          <w:sz w:val="28"/>
          <w:szCs w:val="28"/>
        </w:rPr>
        <w:t>Відповідно до частини першої стат</w:t>
      </w:r>
      <w:r w:rsidR="00B7719B" w:rsidRPr="006F5A3B">
        <w:rPr>
          <w:sz w:val="28"/>
          <w:szCs w:val="28"/>
        </w:rPr>
        <w:t>т</w:t>
      </w:r>
      <w:r w:rsidRPr="006F5A3B">
        <w:rPr>
          <w:sz w:val="28"/>
          <w:szCs w:val="28"/>
        </w:rPr>
        <w:t>і 158 Регламенту Верховної Ради України надаються пояснення щодо відмінностей положень і показників до</w:t>
      </w:r>
      <w:r w:rsidR="00042044" w:rsidRPr="006F5A3B">
        <w:rPr>
          <w:sz w:val="28"/>
          <w:szCs w:val="28"/>
        </w:rPr>
        <w:t>о</w:t>
      </w:r>
      <w:r w:rsidRPr="006F5A3B">
        <w:rPr>
          <w:sz w:val="28"/>
          <w:szCs w:val="28"/>
        </w:rPr>
        <w:t xml:space="preserve">працьованого проекту Закону України </w:t>
      </w:r>
      <w:r w:rsidR="004D498E" w:rsidRPr="006F5A3B">
        <w:rPr>
          <w:sz w:val="28"/>
          <w:szCs w:val="28"/>
        </w:rPr>
        <w:t>«</w:t>
      </w:r>
      <w:r w:rsidRPr="006F5A3B">
        <w:rPr>
          <w:sz w:val="28"/>
          <w:szCs w:val="28"/>
        </w:rPr>
        <w:t xml:space="preserve">Про </w:t>
      </w:r>
      <w:r w:rsidR="00AA464B" w:rsidRPr="006F5A3B">
        <w:rPr>
          <w:sz w:val="28"/>
          <w:szCs w:val="28"/>
        </w:rPr>
        <w:t>Державний бюджет України на 202</w:t>
      </w:r>
      <w:r w:rsidR="003B7D0D" w:rsidRPr="006F5A3B">
        <w:rPr>
          <w:sz w:val="28"/>
          <w:szCs w:val="28"/>
          <w:lang w:val="ru-RU"/>
        </w:rPr>
        <w:t>4</w:t>
      </w:r>
      <w:r w:rsidRPr="006F5A3B">
        <w:rPr>
          <w:sz w:val="28"/>
          <w:szCs w:val="28"/>
        </w:rPr>
        <w:t> рік</w:t>
      </w:r>
      <w:r w:rsidR="004D498E" w:rsidRPr="006F5A3B">
        <w:rPr>
          <w:sz w:val="28"/>
          <w:szCs w:val="28"/>
        </w:rPr>
        <w:t>»</w:t>
      </w:r>
      <w:r w:rsidRPr="006F5A3B">
        <w:rPr>
          <w:sz w:val="28"/>
          <w:szCs w:val="28"/>
        </w:rPr>
        <w:t xml:space="preserve"> до другого читання порівняно з редакцією, що подавалась на перше читання.</w:t>
      </w:r>
    </w:p>
    <w:p w14:paraId="6D17D986" w14:textId="77777777" w:rsidR="007A2BDE" w:rsidRPr="00B5364C" w:rsidRDefault="007A2BDE" w:rsidP="007F005C">
      <w:pPr>
        <w:spacing w:after="120"/>
        <w:ind w:firstLine="709"/>
        <w:jc w:val="center"/>
        <w:rPr>
          <w:b/>
          <w:sz w:val="28"/>
          <w:szCs w:val="28"/>
        </w:rPr>
      </w:pPr>
      <w:r w:rsidRPr="00B5364C">
        <w:rPr>
          <w:b/>
          <w:sz w:val="28"/>
          <w:szCs w:val="28"/>
        </w:rPr>
        <w:t xml:space="preserve">Інформація про основні прогнозні </w:t>
      </w:r>
      <w:proofErr w:type="spellStart"/>
      <w:r w:rsidRPr="00B5364C">
        <w:rPr>
          <w:b/>
          <w:sz w:val="28"/>
          <w:szCs w:val="28"/>
        </w:rPr>
        <w:t>макропоказники</w:t>
      </w:r>
      <w:proofErr w:type="spellEnd"/>
      <w:r w:rsidRPr="00B5364C">
        <w:rPr>
          <w:b/>
          <w:sz w:val="28"/>
          <w:szCs w:val="28"/>
        </w:rPr>
        <w:t xml:space="preserve"> економічного і соціального розвитку України</w:t>
      </w:r>
    </w:p>
    <w:p w14:paraId="4700DAD2" w14:textId="77777777" w:rsidR="007E053E" w:rsidRPr="006F5A3B" w:rsidRDefault="007E053E" w:rsidP="007F005C">
      <w:pPr>
        <w:autoSpaceDE w:val="0"/>
        <w:autoSpaceDN w:val="0"/>
        <w:adjustRightInd w:val="0"/>
        <w:spacing w:after="120"/>
        <w:ind w:firstLine="567"/>
        <w:jc w:val="both"/>
        <w:rPr>
          <w:sz w:val="28"/>
          <w:szCs w:val="28"/>
          <w:lang w:eastAsia="uk-UA"/>
        </w:rPr>
      </w:pPr>
      <w:r w:rsidRPr="006F5A3B">
        <w:rPr>
          <w:sz w:val="28"/>
          <w:szCs w:val="28"/>
          <w:lang w:eastAsia="uk-UA"/>
        </w:rPr>
        <w:t xml:space="preserve">При доопрацюванні показників проекту Державного бюджету України </w:t>
      </w:r>
      <w:r w:rsidRPr="006F5A3B">
        <w:rPr>
          <w:sz w:val="28"/>
          <w:szCs w:val="28"/>
          <w:lang w:eastAsia="uk-UA"/>
        </w:rPr>
        <w:br/>
        <w:t xml:space="preserve">на 2024 рік до другого читання було враховано уточнені основні прогнозні </w:t>
      </w:r>
      <w:proofErr w:type="spellStart"/>
      <w:r w:rsidRPr="006F5A3B">
        <w:rPr>
          <w:sz w:val="28"/>
          <w:szCs w:val="28"/>
          <w:lang w:eastAsia="uk-UA"/>
        </w:rPr>
        <w:t>макропоказники</w:t>
      </w:r>
      <w:proofErr w:type="spellEnd"/>
      <w:r w:rsidRPr="006F5A3B">
        <w:rPr>
          <w:sz w:val="28"/>
          <w:szCs w:val="28"/>
          <w:lang w:eastAsia="uk-UA"/>
        </w:rPr>
        <w:t xml:space="preserve"> та окремі припущення, надіслані листом Міністерства економіки України від 24 жовтня 2023 року №</w:t>
      </w:r>
      <w:r w:rsidR="000E6059" w:rsidRPr="006F5A3B">
        <w:rPr>
          <w:sz w:val="28"/>
          <w:szCs w:val="28"/>
          <w:lang w:val="en-US" w:eastAsia="uk-UA"/>
        </w:rPr>
        <w:t> </w:t>
      </w:r>
      <w:r w:rsidRPr="006F5A3B">
        <w:rPr>
          <w:sz w:val="28"/>
          <w:szCs w:val="28"/>
          <w:lang w:eastAsia="uk-UA"/>
        </w:rPr>
        <w:t>3011-05/57425-03.</w:t>
      </w:r>
    </w:p>
    <w:p w14:paraId="06D78EEC" w14:textId="77777777" w:rsidR="007E053E" w:rsidRPr="006F5A3B" w:rsidRDefault="007E053E" w:rsidP="007F005C">
      <w:pPr>
        <w:autoSpaceDE w:val="0"/>
        <w:autoSpaceDN w:val="0"/>
        <w:adjustRightInd w:val="0"/>
        <w:spacing w:after="120"/>
        <w:ind w:firstLine="567"/>
        <w:jc w:val="both"/>
        <w:rPr>
          <w:sz w:val="28"/>
          <w:szCs w:val="28"/>
          <w:lang w:eastAsia="uk-UA"/>
        </w:rPr>
      </w:pPr>
      <w:r w:rsidRPr="006F5A3B">
        <w:rPr>
          <w:sz w:val="28"/>
          <w:szCs w:val="28"/>
          <w:lang w:eastAsia="uk-UA"/>
        </w:rPr>
        <w:t xml:space="preserve">Відповідно до пункту 44 Порядку розроблення проектів прогнозних і програмних документів економічного і соціального розвитку, Бюджетної декларації та державного бюджету, затвердженого постановою Кабінету Міністрів України від 26 квітня 2003 року № 621, Міністерство економіки України у період розгляду закону про Державний бюджет України у разі потреби проводить уточнення основних прогнозних </w:t>
      </w:r>
      <w:proofErr w:type="spellStart"/>
      <w:r w:rsidRPr="006F5A3B">
        <w:rPr>
          <w:sz w:val="28"/>
          <w:szCs w:val="28"/>
          <w:lang w:eastAsia="uk-UA"/>
        </w:rPr>
        <w:t>макропоказників</w:t>
      </w:r>
      <w:proofErr w:type="spellEnd"/>
      <w:r w:rsidRPr="006F5A3B">
        <w:rPr>
          <w:sz w:val="28"/>
          <w:szCs w:val="28"/>
          <w:lang w:eastAsia="uk-UA"/>
        </w:rPr>
        <w:t xml:space="preserve"> економічного і соціального розвитку України.</w:t>
      </w:r>
    </w:p>
    <w:p w14:paraId="1692A50A" w14:textId="77777777" w:rsidR="007E053E" w:rsidRPr="006F5A3B" w:rsidRDefault="007E053E" w:rsidP="007F005C">
      <w:pPr>
        <w:autoSpaceDE w:val="0"/>
        <w:autoSpaceDN w:val="0"/>
        <w:adjustRightInd w:val="0"/>
        <w:spacing w:after="120"/>
        <w:ind w:firstLine="567"/>
        <w:jc w:val="both"/>
        <w:rPr>
          <w:sz w:val="28"/>
          <w:szCs w:val="28"/>
          <w:lang w:eastAsia="uk-UA"/>
        </w:rPr>
      </w:pPr>
      <w:r w:rsidRPr="006F5A3B">
        <w:rPr>
          <w:sz w:val="28"/>
          <w:szCs w:val="28"/>
          <w:lang w:eastAsia="uk-UA"/>
        </w:rPr>
        <w:t xml:space="preserve">Потреба в уточненні основних прогнозних </w:t>
      </w:r>
      <w:proofErr w:type="spellStart"/>
      <w:r w:rsidRPr="006F5A3B">
        <w:rPr>
          <w:sz w:val="28"/>
          <w:szCs w:val="28"/>
          <w:lang w:eastAsia="uk-UA"/>
        </w:rPr>
        <w:t>макропоказників</w:t>
      </w:r>
      <w:proofErr w:type="spellEnd"/>
      <w:r w:rsidRPr="006F5A3B">
        <w:rPr>
          <w:sz w:val="28"/>
          <w:szCs w:val="28"/>
          <w:lang w:eastAsia="uk-UA"/>
        </w:rPr>
        <w:t xml:space="preserve"> економічного і соціального розвитку України була викликана високою мінливістю соціально-економічних процесів в умовах збройної агресії </w:t>
      </w:r>
      <w:r w:rsidR="00AC50C4">
        <w:rPr>
          <w:sz w:val="28"/>
          <w:szCs w:val="28"/>
          <w:lang w:eastAsia="uk-UA"/>
        </w:rPr>
        <w:t>Російської Федерації</w:t>
      </w:r>
      <w:r w:rsidRPr="006F5A3B">
        <w:rPr>
          <w:sz w:val="28"/>
          <w:szCs w:val="28"/>
          <w:lang w:eastAsia="uk-UA"/>
        </w:rPr>
        <w:t xml:space="preserve">, зміною окремих зовнішніх та внутрішніх припущень, що відбулась упродовж періоду розроблення </w:t>
      </w:r>
      <w:proofErr w:type="spellStart"/>
      <w:r w:rsidRPr="006F5A3B">
        <w:rPr>
          <w:sz w:val="28"/>
          <w:szCs w:val="28"/>
          <w:lang w:eastAsia="uk-UA"/>
        </w:rPr>
        <w:t>макропрогнозу</w:t>
      </w:r>
      <w:proofErr w:type="spellEnd"/>
      <w:r w:rsidRPr="006F5A3B">
        <w:rPr>
          <w:sz w:val="28"/>
          <w:szCs w:val="28"/>
          <w:lang w:eastAsia="uk-UA"/>
        </w:rPr>
        <w:t>, який був врахований при підготовці проекту Державного бюджету України на 2024 рік до першого читання (лист Міністерства економіки України від 29 червня 2023 року №</w:t>
      </w:r>
      <w:r w:rsidR="000E6059" w:rsidRPr="006F5A3B">
        <w:rPr>
          <w:sz w:val="28"/>
          <w:szCs w:val="28"/>
          <w:lang w:val="en-US" w:eastAsia="uk-UA"/>
        </w:rPr>
        <w:t> </w:t>
      </w:r>
      <w:r w:rsidRPr="006F5A3B">
        <w:rPr>
          <w:sz w:val="28"/>
          <w:szCs w:val="28"/>
          <w:lang w:eastAsia="uk-UA"/>
        </w:rPr>
        <w:t xml:space="preserve">3011-05/31540-03). </w:t>
      </w:r>
    </w:p>
    <w:p w14:paraId="12D2380B" w14:textId="77777777" w:rsidR="004D0554" w:rsidRPr="004D0554" w:rsidRDefault="007E053E" w:rsidP="007F005C">
      <w:pPr>
        <w:autoSpaceDE w:val="0"/>
        <w:autoSpaceDN w:val="0"/>
        <w:adjustRightInd w:val="0"/>
        <w:spacing w:after="120"/>
        <w:ind w:firstLine="567"/>
        <w:jc w:val="both"/>
        <w:rPr>
          <w:spacing w:val="10"/>
          <w:sz w:val="28"/>
          <w:szCs w:val="28"/>
          <w:lang w:eastAsia="uk-UA"/>
        </w:rPr>
      </w:pPr>
      <w:r w:rsidRPr="004D0554">
        <w:rPr>
          <w:sz w:val="28"/>
          <w:szCs w:val="28"/>
          <w:lang w:eastAsia="uk-UA"/>
        </w:rPr>
        <w:t xml:space="preserve">Уточнення Міністерством економіки України макроекономічних показників економічного </w:t>
      </w:r>
      <w:r w:rsidRPr="004D0554">
        <w:rPr>
          <w:spacing w:val="6"/>
          <w:sz w:val="28"/>
          <w:szCs w:val="28"/>
          <w:lang w:eastAsia="uk-UA"/>
        </w:rPr>
        <w:t xml:space="preserve">та соціального розвитку України та окремих припущень на 2023-2024 </w:t>
      </w:r>
      <w:r w:rsidRPr="004D0554">
        <w:rPr>
          <w:spacing w:val="4"/>
          <w:sz w:val="28"/>
          <w:szCs w:val="28"/>
          <w:lang w:eastAsia="uk-UA"/>
        </w:rPr>
        <w:t xml:space="preserve">роки було здійснене з урахуванням консультацій, проведених з експертами Міжнародного валютного фонду, Національного банку України, а </w:t>
      </w:r>
      <w:r w:rsidRPr="004D0554">
        <w:rPr>
          <w:spacing w:val="2"/>
          <w:sz w:val="28"/>
          <w:szCs w:val="28"/>
          <w:lang w:eastAsia="uk-UA"/>
        </w:rPr>
        <w:t>також змін поточної ситуації та окремих припущень прогнозу в умовах збройної агресії</w:t>
      </w:r>
      <w:r w:rsidRPr="004D0554">
        <w:rPr>
          <w:spacing w:val="4"/>
          <w:sz w:val="28"/>
          <w:szCs w:val="28"/>
          <w:lang w:eastAsia="uk-UA"/>
        </w:rPr>
        <w:t xml:space="preserve"> </w:t>
      </w:r>
      <w:r w:rsidR="00AC50C4" w:rsidRPr="004D0554">
        <w:rPr>
          <w:spacing w:val="4"/>
          <w:sz w:val="28"/>
          <w:szCs w:val="28"/>
          <w:lang w:eastAsia="uk-UA"/>
        </w:rPr>
        <w:t>Російської Федерації</w:t>
      </w:r>
      <w:r w:rsidRPr="004D0554">
        <w:rPr>
          <w:spacing w:val="4"/>
          <w:sz w:val="28"/>
          <w:szCs w:val="28"/>
          <w:lang w:eastAsia="uk-UA"/>
        </w:rPr>
        <w:t>, що триває (зокрема, щодо тривалості воєнних дій,</w:t>
      </w:r>
      <w:r w:rsidRPr="004D0554">
        <w:rPr>
          <w:spacing w:val="-2"/>
          <w:sz w:val="28"/>
          <w:szCs w:val="28"/>
          <w:lang w:eastAsia="uk-UA"/>
        </w:rPr>
        <w:t xml:space="preserve"> </w:t>
      </w:r>
    </w:p>
    <w:p w14:paraId="25BCB572" w14:textId="77777777" w:rsidR="007E053E" w:rsidRPr="006F5A3B" w:rsidRDefault="007E053E" w:rsidP="004D0554">
      <w:pPr>
        <w:autoSpaceDE w:val="0"/>
        <w:autoSpaceDN w:val="0"/>
        <w:adjustRightInd w:val="0"/>
        <w:spacing w:after="120"/>
        <w:jc w:val="both"/>
        <w:rPr>
          <w:sz w:val="28"/>
          <w:szCs w:val="28"/>
          <w:lang w:eastAsia="uk-UA"/>
        </w:rPr>
      </w:pPr>
      <w:r w:rsidRPr="006F5A3B">
        <w:rPr>
          <w:sz w:val="28"/>
          <w:szCs w:val="28"/>
          <w:lang w:eastAsia="uk-UA"/>
        </w:rPr>
        <w:lastRenderedPageBreak/>
        <w:t>логістичних обмежень, міграційних процесів, обсягів врожаю зернових у 2023 році, переходу від фіксованого курсу до керованої гнучкості обмінного курсу гривні, прогнозу прямих іноземних інвестицій, обсягів міжнародної фін</w:t>
      </w:r>
      <w:r w:rsidR="000E6059" w:rsidRPr="006F5A3B">
        <w:rPr>
          <w:sz w:val="28"/>
          <w:szCs w:val="28"/>
          <w:lang w:eastAsia="uk-UA"/>
        </w:rPr>
        <w:t>ансової допомоги у 2024</w:t>
      </w:r>
      <w:r w:rsidR="000E6059" w:rsidRPr="006F5A3B">
        <w:rPr>
          <w:sz w:val="28"/>
          <w:szCs w:val="28"/>
          <w:lang w:val="en-US" w:eastAsia="uk-UA"/>
        </w:rPr>
        <w:t> </w:t>
      </w:r>
      <w:r w:rsidRPr="006F5A3B">
        <w:rPr>
          <w:sz w:val="28"/>
          <w:szCs w:val="28"/>
          <w:lang w:eastAsia="uk-UA"/>
        </w:rPr>
        <w:t>році тощо).</w:t>
      </w:r>
    </w:p>
    <w:p w14:paraId="538999C6" w14:textId="77777777" w:rsidR="007E053E" w:rsidRPr="006F5A3B" w:rsidRDefault="007E053E" w:rsidP="007F005C">
      <w:pPr>
        <w:autoSpaceDE w:val="0"/>
        <w:autoSpaceDN w:val="0"/>
        <w:adjustRightInd w:val="0"/>
        <w:spacing w:after="120"/>
        <w:ind w:firstLine="567"/>
        <w:jc w:val="center"/>
        <w:rPr>
          <w:sz w:val="28"/>
          <w:szCs w:val="28"/>
          <w:lang w:eastAsia="uk-UA"/>
        </w:rPr>
      </w:pPr>
      <w:r w:rsidRPr="006F5A3B">
        <w:rPr>
          <w:rFonts w:eastAsia="Calibri"/>
          <w:sz w:val="28"/>
          <w:szCs w:val="28"/>
          <w:lang w:eastAsia="en-US"/>
        </w:rPr>
        <w:t>Уточнення очікуваних показників на 2023 рік</w:t>
      </w:r>
    </w:p>
    <w:p w14:paraId="60DD2615" w14:textId="77777777" w:rsidR="007E053E" w:rsidRPr="006F5A3B" w:rsidRDefault="007E053E" w:rsidP="007F005C">
      <w:pPr>
        <w:autoSpaceDE w:val="0"/>
        <w:autoSpaceDN w:val="0"/>
        <w:adjustRightInd w:val="0"/>
        <w:spacing w:after="120"/>
        <w:ind w:firstLine="567"/>
        <w:jc w:val="both"/>
        <w:rPr>
          <w:rFonts w:eastAsia="Calibri"/>
          <w:sz w:val="28"/>
          <w:szCs w:val="28"/>
          <w:lang w:eastAsia="en-US"/>
        </w:rPr>
      </w:pPr>
      <w:r w:rsidRPr="006F5A3B">
        <w:rPr>
          <w:sz w:val="28"/>
          <w:szCs w:val="28"/>
          <w:lang w:eastAsia="uk-UA"/>
        </w:rPr>
        <w:t xml:space="preserve">Так, було уточнено очікувані макроекономічні показники на 2023 рік, які є базою для розрахунку прогнозу на 2024 рік. Зокрема, в розрахунках було </w:t>
      </w:r>
      <w:r w:rsidRPr="006F5A3B">
        <w:rPr>
          <w:rFonts w:eastAsia="Calibri"/>
          <w:sz w:val="28"/>
          <w:szCs w:val="28"/>
          <w:lang w:eastAsia="en-US"/>
        </w:rPr>
        <w:t xml:space="preserve">враховано звітні статистичні дані за ІІ квартал поточного року, відповідно до яких темпи зростання реального ВВП становили 19,5 </w:t>
      </w:r>
      <w:proofErr w:type="spellStart"/>
      <w:r w:rsidRPr="006F5A3B">
        <w:rPr>
          <w:rFonts w:eastAsia="Calibri"/>
          <w:sz w:val="28"/>
          <w:szCs w:val="28"/>
          <w:lang w:eastAsia="en-US"/>
        </w:rPr>
        <w:t>відсотк</w:t>
      </w:r>
      <w:proofErr w:type="spellEnd"/>
      <w:r w:rsidRPr="006F5A3B">
        <w:rPr>
          <w:rFonts w:eastAsia="Calibri"/>
          <w:sz w:val="28"/>
          <w:szCs w:val="28"/>
          <w:lang w:val="ru-RU" w:eastAsia="en-US"/>
        </w:rPr>
        <w:t>а</w:t>
      </w:r>
      <w:r w:rsidRPr="006F5A3B">
        <w:rPr>
          <w:rFonts w:eastAsia="Calibri"/>
          <w:sz w:val="28"/>
          <w:szCs w:val="28"/>
          <w:lang w:eastAsia="en-US"/>
        </w:rPr>
        <w:t>, що є кращим за те, що було враховано в розрахунках попереднього прогнозу.</w:t>
      </w:r>
    </w:p>
    <w:p w14:paraId="1F0AD5B6" w14:textId="77777777" w:rsidR="007E053E" w:rsidRPr="006F5A3B" w:rsidRDefault="007E053E" w:rsidP="007F005C">
      <w:pPr>
        <w:autoSpaceDE w:val="0"/>
        <w:autoSpaceDN w:val="0"/>
        <w:adjustRightInd w:val="0"/>
        <w:spacing w:after="120"/>
        <w:ind w:firstLine="567"/>
        <w:jc w:val="both"/>
        <w:rPr>
          <w:rFonts w:eastAsia="Calibri"/>
          <w:sz w:val="28"/>
          <w:szCs w:val="28"/>
          <w:lang w:eastAsia="en-US"/>
        </w:rPr>
      </w:pPr>
      <w:r w:rsidRPr="006F5A3B">
        <w:rPr>
          <w:rFonts w:eastAsia="Calibri"/>
          <w:sz w:val="28"/>
          <w:szCs w:val="28"/>
          <w:lang w:eastAsia="en-US"/>
        </w:rPr>
        <w:t xml:space="preserve">Враховуючи оперативну оцінку ВВП Державної служби статистики </w:t>
      </w:r>
      <w:r w:rsidR="007F005C" w:rsidRPr="006F5A3B">
        <w:rPr>
          <w:rFonts w:eastAsia="Calibri"/>
          <w:sz w:val="28"/>
          <w:szCs w:val="28"/>
          <w:lang w:eastAsia="en-US"/>
        </w:rPr>
        <w:t xml:space="preserve">України </w:t>
      </w:r>
      <w:r w:rsidRPr="006F5A3B">
        <w:rPr>
          <w:rFonts w:eastAsia="Calibri"/>
          <w:sz w:val="28"/>
          <w:szCs w:val="28"/>
          <w:lang w:eastAsia="en-US"/>
        </w:rPr>
        <w:t xml:space="preserve">(падіння реального ВВП у І кварталі на 10,5 відсотка та зростання у ІІ кварталі на 19,5 відсотка), а також більш швидку адаптацію економіки до функціонування в умовах викликів та ризиків війни, очікується більш швидке відновлення реального ВВП у 2023 році – до «плюс» 5 відсотків порівняно із «плюс» 2,8 відсотка у попередньому прогнозі. </w:t>
      </w:r>
    </w:p>
    <w:p w14:paraId="7DB57809"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 xml:space="preserve">На фоні сповільнення інфляції упродовж останніх декількох місяців (дефляції у липні та серпні) та зміни припущень щодо меншої девальвації гривні (38,6 грн за </w:t>
      </w:r>
      <w:proofErr w:type="spellStart"/>
      <w:r w:rsidRPr="006F5A3B">
        <w:rPr>
          <w:rFonts w:eastAsia="Calibri"/>
          <w:sz w:val="28"/>
          <w:szCs w:val="22"/>
          <w:lang w:eastAsia="en-US"/>
        </w:rPr>
        <w:t>дол</w:t>
      </w:r>
      <w:proofErr w:type="spellEnd"/>
      <w:r w:rsidRPr="006F5A3B">
        <w:rPr>
          <w:rFonts w:eastAsia="Calibri"/>
          <w:sz w:val="28"/>
          <w:szCs w:val="22"/>
          <w:lang w:eastAsia="en-US"/>
        </w:rPr>
        <w:t xml:space="preserve">. США на кінець періоду </w:t>
      </w:r>
      <w:r w:rsidR="007F005C" w:rsidRPr="006F5A3B">
        <w:rPr>
          <w:rFonts w:eastAsia="Calibri"/>
          <w:sz w:val="28"/>
          <w:szCs w:val="22"/>
          <w:lang w:eastAsia="en-US"/>
        </w:rPr>
        <w:t>до другого</w:t>
      </w:r>
      <w:r w:rsidRPr="006F5A3B">
        <w:rPr>
          <w:rFonts w:eastAsia="Calibri"/>
          <w:sz w:val="28"/>
          <w:szCs w:val="22"/>
          <w:lang w:eastAsia="en-US"/>
        </w:rPr>
        <w:t xml:space="preserve"> читання порівняно з 40,2 грн за </w:t>
      </w:r>
      <w:proofErr w:type="spellStart"/>
      <w:r w:rsidRPr="006F5A3B">
        <w:rPr>
          <w:rFonts w:eastAsia="Calibri"/>
          <w:sz w:val="28"/>
          <w:szCs w:val="22"/>
          <w:lang w:eastAsia="en-US"/>
        </w:rPr>
        <w:t>дол</w:t>
      </w:r>
      <w:proofErr w:type="spellEnd"/>
      <w:r w:rsidRPr="006F5A3B">
        <w:rPr>
          <w:rFonts w:eastAsia="Calibri"/>
          <w:sz w:val="28"/>
          <w:szCs w:val="22"/>
          <w:lang w:eastAsia="en-US"/>
        </w:rPr>
        <w:t xml:space="preserve">. США </w:t>
      </w:r>
      <w:r w:rsidR="007F005C" w:rsidRPr="006F5A3B">
        <w:rPr>
          <w:rFonts w:eastAsia="Calibri"/>
          <w:sz w:val="28"/>
          <w:szCs w:val="22"/>
          <w:lang w:eastAsia="en-US"/>
        </w:rPr>
        <w:t>на</w:t>
      </w:r>
      <w:r w:rsidRPr="006F5A3B">
        <w:rPr>
          <w:rFonts w:eastAsia="Calibri"/>
          <w:sz w:val="28"/>
          <w:szCs w:val="22"/>
          <w:lang w:eastAsia="en-US"/>
        </w:rPr>
        <w:t xml:space="preserve"> </w:t>
      </w:r>
      <w:r w:rsidRPr="006F5A3B">
        <w:rPr>
          <w:rFonts w:eastAsia="Calibri"/>
          <w:sz w:val="28"/>
          <w:szCs w:val="28"/>
          <w:lang w:eastAsia="en-US"/>
        </w:rPr>
        <w:t>перше</w:t>
      </w:r>
      <w:r w:rsidRPr="006F5A3B">
        <w:rPr>
          <w:rFonts w:eastAsia="Calibri"/>
          <w:sz w:val="28"/>
          <w:szCs w:val="22"/>
          <w:lang w:eastAsia="en-US"/>
        </w:rPr>
        <w:t xml:space="preserve"> читання) також було уточнено очікування щодо зростання споживчих цін у поточному році у бік зменшення </w:t>
      </w:r>
      <w:r w:rsidRPr="006F5A3B">
        <w:rPr>
          <w:rFonts w:eastAsia="Calibri"/>
          <w:sz w:val="28"/>
          <w:szCs w:val="28"/>
          <w:lang w:eastAsia="en-US"/>
        </w:rPr>
        <w:t>–</w:t>
      </w:r>
      <w:r w:rsidRPr="006F5A3B">
        <w:rPr>
          <w:rFonts w:eastAsia="Calibri"/>
          <w:sz w:val="28"/>
          <w:szCs w:val="22"/>
          <w:lang w:eastAsia="en-US"/>
        </w:rPr>
        <w:t xml:space="preserve"> з 14,7 </w:t>
      </w:r>
      <w:r w:rsidRPr="006F5A3B">
        <w:rPr>
          <w:rFonts w:eastAsia="Calibri"/>
          <w:sz w:val="28"/>
          <w:szCs w:val="28"/>
          <w:lang w:eastAsia="en-US"/>
        </w:rPr>
        <w:t>відсотка</w:t>
      </w:r>
      <w:r w:rsidRPr="006F5A3B">
        <w:rPr>
          <w:rFonts w:eastAsia="Calibri"/>
          <w:sz w:val="28"/>
          <w:szCs w:val="22"/>
          <w:lang w:eastAsia="en-US"/>
        </w:rPr>
        <w:t xml:space="preserve"> (у розрахунку грудень до грудня попереднього року) у попередньому прогнозі до 7,1</w:t>
      </w:r>
      <w:r w:rsidRPr="006F5A3B">
        <w:rPr>
          <w:rFonts w:eastAsia="Calibri"/>
          <w:sz w:val="28"/>
          <w:szCs w:val="28"/>
          <w:lang w:eastAsia="en-US"/>
        </w:rPr>
        <w:t xml:space="preserve"> відсотка у новому прогнозі</w:t>
      </w:r>
      <w:r w:rsidRPr="006F5A3B">
        <w:rPr>
          <w:rFonts w:eastAsia="Calibri"/>
          <w:sz w:val="28"/>
          <w:szCs w:val="22"/>
          <w:lang w:eastAsia="en-US"/>
        </w:rPr>
        <w:t>.</w:t>
      </w:r>
    </w:p>
    <w:p w14:paraId="35CAF811" w14:textId="77777777" w:rsidR="007E053E" w:rsidRPr="006F5A3B" w:rsidRDefault="007E053E" w:rsidP="007F005C">
      <w:pPr>
        <w:spacing w:after="120"/>
        <w:ind w:firstLine="567"/>
        <w:jc w:val="both"/>
        <w:rPr>
          <w:rFonts w:eastAsia="Calibri"/>
          <w:i/>
          <w:sz w:val="28"/>
          <w:szCs w:val="28"/>
          <w:lang w:eastAsia="en-US"/>
        </w:rPr>
      </w:pPr>
      <w:r w:rsidRPr="006F5A3B">
        <w:rPr>
          <w:rFonts w:eastAsia="Calibri"/>
          <w:sz w:val="28"/>
          <w:szCs w:val="28"/>
          <w:lang w:eastAsia="en-US"/>
        </w:rPr>
        <w:t>Як результат уточнення очікуваних показників зміни реального ВВП та цінових індексів, показник номінального ВВП на 2023 рік було скориговано до 6</w:t>
      </w:r>
      <w:r w:rsidR="007F005C" w:rsidRPr="006F5A3B">
        <w:rPr>
          <w:rFonts w:eastAsia="Calibri"/>
          <w:sz w:val="28"/>
          <w:szCs w:val="28"/>
          <w:lang w:eastAsia="en-US"/>
        </w:rPr>
        <w:t> </w:t>
      </w:r>
      <w:r w:rsidRPr="006F5A3B">
        <w:rPr>
          <w:rFonts w:eastAsia="Calibri"/>
          <w:sz w:val="28"/>
          <w:szCs w:val="28"/>
          <w:lang w:eastAsia="en-US"/>
        </w:rPr>
        <w:t>466,1 млрд грн, що на 96 млрд грн вище, ніж у прогнозі проект</w:t>
      </w:r>
      <w:r w:rsidR="004B03E7" w:rsidRPr="006F5A3B">
        <w:rPr>
          <w:rFonts w:eastAsia="Calibri"/>
          <w:sz w:val="28"/>
          <w:szCs w:val="28"/>
          <w:lang w:eastAsia="en-US"/>
        </w:rPr>
        <w:t>у</w:t>
      </w:r>
      <w:r w:rsidRPr="006F5A3B">
        <w:rPr>
          <w:rFonts w:eastAsia="Calibri"/>
          <w:sz w:val="28"/>
          <w:szCs w:val="28"/>
          <w:lang w:eastAsia="en-US"/>
        </w:rPr>
        <w:t xml:space="preserve"> бюджету до першого читання. </w:t>
      </w:r>
    </w:p>
    <w:p w14:paraId="469B7553" w14:textId="77777777" w:rsidR="007E053E" w:rsidRPr="006F5A3B" w:rsidRDefault="007E053E" w:rsidP="007F005C">
      <w:pPr>
        <w:spacing w:after="120"/>
        <w:ind w:firstLine="567"/>
        <w:jc w:val="both"/>
        <w:rPr>
          <w:rFonts w:eastAsia="Calibri"/>
          <w:sz w:val="28"/>
          <w:szCs w:val="28"/>
          <w:lang w:eastAsia="en-US"/>
        </w:rPr>
      </w:pPr>
      <w:r w:rsidRPr="006F5A3B">
        <w:rPr>
          <w:rFonts w:eastAsia="Calibri"/>
          <w:sz w:val="28"/>
          <w:szCs w:val="28"/>
          <w:lang w:eastAsia="en-US"/>
        </w:rPr>
        <w:t>Уточнення номінального ВВП призвело до незначного коригування його складових, у тому числі, показників прибутку прибуткових підприємств та фонду оплати праці</w:t>
      </w:r>
      <w:r w:rsidRPr="006F5A3B">
        <w:rPr>
          <w:rFonts w:eastAsia="Calibri"/>
          <w:sz w:val="28"/>
          <w:szCs w:val="28"/>
          <w:lang w:val="ru-RU" w:eastAsia="en-US"/>
        </w:rPr>
        <w:t xml:space="preserve"> </w:t>
      </w:r>
      <w:r w:rsidRPr="006F5A3B">
        <w:rPr>
          <w:rFonts w:eastAsia="Calibri"/>
          <w:sz w:val="28"/>
          <w:szCs w:val="28"/>
          <w:lang w:eastAsia="en-US"/>
        </w:rPr>
        <w:t>найманих працівників і грошового забезпечення військовослужбовців.</w:t>
      </w:r>
    </w:p>
    <w:p w14:paraId="54F0C020" w14:textId="77777777" w:rsidR="007E053E" w:rsidRPr="006F5A3B" w:rsidRDefault="007E053E" w:rsidP="007F005C">
      <w:pPr>
        <w:spacing w:after="120"/>
        <w:ind w:firstLine="567"/>
        <w:jc w:val="both"/>
        <w:rPr>
          <w:rFonts w:eastAsia="Calibri"/>
          <w:sz w:val="28"/>
          <w:szCs w:val="28"/>
          <w:lang w:eastAsia="en-US"/>
        </w:rPr>
      </w:pPr>
      <w:r w:rsidRPr="006F5A3B">
        <w:rPr>
          <w:rFonts w:eastAsia="Calibri"/>
          <w:sz w:val="28"/>
          <w:szCs w:val="22"/>
          <w:lang w:eastAsia="en-US"/>
        </w:rPr>
        <w:t>Враховуючи меншу очікувану споживчу інфляцію, прогноз зміни реальної заробітної плати підвищено з «плюс» 5,2</w:t>
      </w:r>
      <w:r w:rsidRPr="006F5A3B">
        <w:rPr>
          <w:rFonts w:eastAsia="Calibri"/>
          <w:sz w:val="28"/>
          <w:szCs w:val="28"/>
          <w:lang w:eastAsia="en-US"/>
        </w:rPr>
        <w:t xml:space="preserve"> відсотка</w:t>
      </w:r>
      <w:r w:rsidRPr="006F5A3B">
        <w:rPr>
          <w:rFonts w:eastAsia="Calibri"/>
          <w:sz w:val="28"/>
          <w:szCs w:val="22"/>
          <w:lang w:eastAsia="en-US"/>
        </w:rPr>
        <w:t xml:space="preserve"> до «плюс» 10,1</w:t>
      </w:r>
      <w:r w:rsidRPr="006F5A3B">
        <w:rPr>
          <w:rFonts w:eastAsia="Calibri"/>
          <w:sz w:val="28"/>
          <w:szCs w:val="28"/>
          <w:lang w:eastAsia="en-US"/>
        </w:rPr>
        <w:t xml:space="preserve"> відсотка</w:t>
      </w:r>
      <w:r w:rsidRPr="006F5A3B">
        <w:rPr>
          <w:rFonts w:eastAsia="Calibri"/>
          <w:sz w:val="28"/>
          <w:szCs w:val="22"/>
          <w:lang w:eastAsia="en-US"/>
        </w:rPr>
        <w:t>.</w:t>
      </w:r>
      <w:r w:rsidRPr="006F5A3B">
        <w:rPr>
          <w:rFonts w:eastAsia="Calibri"/>
          <w:sz w:val="28"/>
          <w:szCs w:val="28"/>
          <w:lang w:eastAsia="en-US"/>
        </w:rPr>
        <w:t xml:space="preserve"> Показник очікуваного рівня середньомісячної заробітної плати на 2023 рік у номінальному вимірі було скориговано у бік збіль</w:t>
      </w:r>
      <w:r w:rsidR="007F005C" w:rsidRPr="006F5A3B">
        <w:rPr>
          <w:rFonts w:eastAsia="Calibri"/>
          <w:sz w:val="28"/>
          <w:szCs w:val="28"/>
          <w:lang w:eastAsia="en-US"/>
        </w:rPr>
        <w:t>шення до 18 527 гривень (на 409 </w:t>
      </w:r>
      <w:r w:rsidRPr="006F5A3B">
        <w:rPr>
          <w:rFonts w:eastAsia="Calibri"/>
          <w:sz w:val="28"/>
          <w:szCs w:val="28"/>
          <w:lang w:eastAsia="en-US"/>
        </w:rPr>
        <w:t>грн більше порівняно із першим читанням).</w:t>
      </w:r>
    </w:p>
    <w:p w14:paraId="330776B3"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 xml:space="preserve">Прогноз обсягів як експорту товарів і послуг, так і імпорту, було зменшено, проте експорту – більш суттєво, через зміну припущень щодо дії зернового коридору та посилені атаки </w:t>
      </w:r>
      <w:r w:rsidR="007F005C" w:rsidRPr="006F5A3B">
        <w:rPr>
          <w:rFonts w:eastAsia="Calibri"/>
          <w:sz w:val="28"/>
          <w:szCs w:val="22"/>
          <w:lang w:eastAsia="en-US"/>
        </w:rPr>
        <w:t>Російської Федерації</w:t>
      </w:r>
      <w:r w:rsidRPr="006F5A3B">
        <w:rPr>
          <w:rFonts w:eastAsia="Calibri"/>
          <w:sz w:val="28"/>
          <w:szCs w:val="22"/>
          <w:lang w:eastAsia="en-US"/>
        </w:rPr>
        <w:t xml:space="preserve"> на інфраструктуру морських та річкових портів. Так, номінальні обсяги експорту т</w:t>
      </w:r>
      <w:r w:rsidR="007F005C" w:rsidRPr="006F5A3B">
        <w:rPr>
          <w:rFonts w:eastAsia="Calibri"/>
          <w:sz w:val="28"/>
          <w:szCs w:val="22"/>
          <w:lang w:eastAsia="en-US"/>
        </w:rPr>
        <w:t>оварів і послуг зменшено з 57,6 </w:t>
      </w:r>
      <w:r w:rsidRPr="006F5A3B">
        <w:rPr>
          <w:rFonts w:eastAsia="Calibri"/>
          <w:sz w:val="28"/>
          <w:szCs w:val="22"/>
          <w:lang w:eastAsia="en-US"/>
        </w:rPr>
        <w:t>мл</w:t>
      </w:r>
      <w:proofErr w:type="spellStart"/>
      <w:r w:rsidRPr="006F5A3B">
        <w:rPr>
          <w:rFonts w:eastAsia="Calibri"/>
          <w:sz w:val="28"/>
          <w:szCs w:val="22"/>
          <w:lang w:val="ru-RU" w:eastAsia="en-US"/>
        </w:rPr>
        <w:t>рд</w:t>
      </w:r>
      <w:proofErr w:type="spellEnd"/>
      <w:r w:rsidRPr="006F5A3B">
        <w:rPr>
          <w:rFonts w:eastAsia="Calibri"/>
          <w:sz w:val="28"/>
          <w:szCs w:val="22"/>
          <w:lang w:eastAsia="en-US"/>
        </w:rPr>
        <w:t xml:space="preserve"> </w:t>
      </w:r>
      <w:proofErr w:type="spellStart"/>
      <w:r w:rsidRPr="006F5A3B">
        <w:rPr>
          <w:rFonts w:eastAsia="Calibri"/>
          <w:sz w:val="28"/>
          <w:szCs w:val="22"/>
          <w:lang w:eastAsia="en-US"/>
        </w:rPr>
        <w:t>дол</w:t>
      </w:r>
      <w:proofErr w:type="spellEnd"/>
      <w:r w:rsidRPr="006F5A3B">
        <w:rPr>
          <w:rFonts w:eastAsia="Calibri"/>
          <w:sz w:val="28"/>
          <w:szCs w:val="22"/>
          <w:lang w:eastAsia="en-US"/>
        </w:rPr>
        <w:t>. США до 51,6 мл</w:t>
      </w:r>
      <w:proofErr w:type="spellStart"/>
      <w:r w:rsidRPr="006F5A3B">
        <w:rPr>
          <w:rFonts w:eastAsia="Calibri"/>
          <w:sz w:val="28"/>
          <w:szCs w:val="22"/>
          <w:lang w:val="ru-RU" w:eastAsia="en-US"/>
        </w:rPr>
        <w:t>рд</w:t>
      </w:r>
      <w:proofErr w:type="spellEnd"/>
      <w:r w:rsidRPr="006F5A3B">
        <w:rPr>
          <w:rFonts w:eastAsia="Calibri"/>
          <w:sz w:val="28"/>
          <w:szCs w:val="22"/>
          <w:lang w:eastAsia="en-US"/>
        </w:rPr>
        <w:t xml:space="preserve"> </w:t>
      </w:r>
      <w:proofErr w:type="spellStart"/>
      <w:r w:rsidRPr="006F5A3B">
        <w:rPr>
          <w:rFonts w:eastAsia="Calibri"/>
          <w:sz w:val="28"/>
          <w:szCs w:val="22"/>
          <w:lang w:eastAsia="en-US"/>
        </w:rPr>
        <w:t>дол</w:t>
      </w:r>
      <w:proofErr w:type="spellEnd"/>
      <w:r w:rsidRPr="006F5A3B">
        <w:rPr>
          <w:rFonts w:eastAsia="Calibri"/>
          <w:sz w:val="28"/>
          <w:szCs w:val="22"/>
          <w:lang w:eastAsia="en-US"/>
        </w:rPr>
        <w:t>. США, імпорту – з 91,7 мл</w:t>
      </w:r>
      <w:proofErr w:type="spellStart"/>
      <w:r w:rsidRPr="006F5A3B">
        <w:rPr>
          <w:rFonts w:eastAsia="Calibri"/>
          <w:sz w:val="28"/>
          <w:szCs w:val="22"/>
          <w:lang w:val="ru-RU" w:eastAsia="en-US"/>
        </w:rPr>
        <w:t>рд</w:t>
      </w:r>
      <w:proofErr w:type="spellEnd"/>
      <w:r w:rsidRPr="006F5A3B">
        <w:rPr>
          <w:rFonts w:eastAsia="Calibri"/>
          <w:sz w:val="28"/>
          <w:szCs w:val="22"/>
          <w:lang w:eastAsia="en-US"/>
        </w:rPr>
        <w:t xml:space="preserve"> </w:t>
      </w:r>
      <w:proofErr w:type="spellStart"/>
      <w:r w:rsidRPr="006F5A3B">
        <w:rPr>
          <w:rFonts w:eastAsia="Calibri"/>
          <w:sz w:val="28"/>
          <w:szCs w:val="22"/>
          <w:lang w:eastAsia="en-US"/>
        </w:rPr>
        <w:t>дол</w:t>
      </w:r>
      <w:proofErr w:type="spellEnd"/>
      <w:r w:rsidRPr="006F5A3B">
        <w:rPr>
          <w:rFonts w:eastAsia="Calibri"/>
          <w:sz w:val="28"/>
          <w:szCs w:val="22"/>
          <w:lang w:eastAsia="en-US"/>
        </w:rPr>
        <w:t>. США до 91,1 мл</w:t>
      </w:r>
      <w:proofErr w:type="spellStart"/>
      <w:r w:rsidRPr="006F5A3B">
        <w:rPr>
          <w:rFonts w:eastAsia="Calibri"/>
          <w:sz w:val="28"/>
          <w:szCs w:val="22"/>
          <w:lang w:val="ru-RU" w:eastAsia="en-US"/>
        </w:rPr>
        <w:t>рд</w:t>
      </w:r>
      <w:proofErr w:type="spellEnd"/>
      <w:r w:rsidRPr="006F5A3B">
        <w:rPr>
          <w:rFonts w:eastAsia="Calibri"/>
          <w:sz w:val="28"/>
          <w:szCs w:val="22"/>
          <w:lang w:eastAsia="en-US"/>
        </w:rPr>
        <w:t xml:space="preserve"> </w:t>
      </w:r>
      <w:proofErr w:type="spellStart"/>
      <w:r w:rsidRPr="006F5A3B">
        <w:rPr>
          <w:rFonts w:eastAsia="Calibri"/>
          <w:sz w:val="28"/>
          <w:szCs w:val="22"/>
          <w:lang w:eastAsia="en-US"/>
        </w:rPr>
        <w:t>дол</w:t>
      </w:r>
      <w:proofErr w:type="spellEnd"/>
      <w:r w:rsidRPr="006F5A3B">
        <w:rPr>
          <w:rFonts w:eastAsia="Calibri"/>
          <w:sz w:val="28"/>
          <w:szCs w:val="22"/>
          <w:lang w:eastAsia="en-US"/>
        </w:rPr>
        <w:t>. США.</w:t>
      </w:r>
    </w:p>
    <w:p w14:paraId="40617A28" w14:textId="77777777" w:rsidR="007F005C" w:rsidRPr="006F5A3B" w:rsidRDefault="007F005C" w:rsidP="007F005C">
      <w:pPr>
        <w:spacing w:after="120"/>
        <w:ind w:left="567" w:firstLine="567"/>
        <w:jc w:val="center"/>
        <w:rPr>
          <w:rFonts w:eastAsia="Calibri"/>
          <w:sz w:val="28"/>
          <w:szCs w:val="28"/>
          <w:lang w:eastAsia="en-US"/>
        </w:rPr>
      </w:pPr>
    </w:p>
    <w:p w14:paraId="76983528" w14:textId="77777777" w:rsidR="007E053E" w:rsidRPr="006F5A3B" w:rsidRDefault="007E053E" w:rsidP="007F005C">
      <w:pPr>
        <w:spacing w:after="120"/>
        <w:ind w:left="567" w:firstLine="567"/>
        <w:jc w:val="center"/>
        <w:rPr>
          <w:rFonts w:eastAsia="Calibri"/>
          <w:sz w:val="28"/>
          <w:szCs w:val="28"/>
          <w:lang w:eastAsia="en-US"/>
        </w:rPr>
      </w:pPr>
      <w:r w:rsidRPr="006F5A3B">
        <w:rPr>
          <w:rFonts w:eastAsia="Calibri"/>
          <w:sz w:val="28"/>
          <w:szCs w:val="28"/>
          <w:lang w:eastAsia="en-US"/>
        </w:rPr>
        <w:t>Уточнення прогнозу на 2024 рік</w:t>
      </w:r>
    </w:p>
    <w:p w14:paraId="483C3D8F" w14:textId="77777777" w:rsidR="007E053E" w:rsidRPr="006F5A3B" w:rsidRDefault="007E053E" w:rsidP="007F005C">
      <w:pPr>
        <w:spacing w:after="120"/>
        <w:ind w:firstLine="567"/>
        <w:jc w:val="both"/>
        <w:rPr>
          <w:rFonts w:eastAsia="Calibri"/>
          <w:color w:val="00B050"/>
          <w:sz w:val="28"/>
          <w:szCs w:val="22"/>
          <w:lang w:eastAsia="en-US"/>
        </w:rPr>
      </w:pPr>
      <w:r w:rsidRPr="006F5A3B">
        <w:rPr>
          <w:rFonts w:eastAsia="Calibri"/>
          <w:sz w:val="28"/>
          <w:szCs w:val="22"/>
          <w:lang w:eastAsia="en-US"/>
        </w:rPr>
        <w:t xml:space="preserve">Уточнення зазнали також основні прогнозні </w:t>
      </w:r>
      <w:proofErr w:type="spellStart"/>
      <w:r w:rsidRPr="006F5A3B">
        <w:rPr>
          <w:rFonts w:eastAsia="Calibri"/>
          <w:sz w:val="28"/>
          <w:szCs w:val="22"/>
          <w:lang w:eastAsia="en-US"/>
        </w:rPr>
        <w:t>макропоказники</w:t>
      </w:r>
      <w:proofErr w:type="spellEnd"/>
      <w:r w:rsidRPr="006F5A3B">
        <w:rPr>
          <w:rFonts w:eastAsia="Calibri"/>
          <w:sz w:val="28"/>
          <w:szCs w:val="22"/>
          <w:lang w:eastAsia="en-US"/>
        </w:rPr>
        <w:t xml:space="preserve"> і на 2024 рік.</w:t>
      </w:r>
    </w:p>
    <w:p w14:paraId="4A1284DE"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Через вищу базу 2023 року та уточнення в бік збільшення прогнозу імпорту прогноз зростання реального ВВП було незначно скориговано – до 4,6</w:t>
      </w:r>
      <w:r w:rsidRPr="006F5A3B">
        <w:rPr>
          <w:rFonts w:eastAsia="Calibri"/>
          <w:sz w:val="28"/>
          <w:szCs w:val="28"/>
          <w:lang w:eastAsia="en-US"/>
        </w:rPr>
        <w:t xml:space="preserve"> відсотка</w:t>
      </w:r>
      <w:r w:rsidRPr="006F5A3B">
        <w:rPr>
          <w:rFonts w:eastAsia="Calibri"/>
          <w:sz w:val="28"/>
          <w:szCs w:val="22"/>
          <w:lang w:eastAsia="en-US"/>
        </w:rPr>
        <w:t xml:space="preserve"> під друге читання порівняно з 5</w:t>
      </w:r>
      <w:r w:rsidRPr="006F5A3B">
        <w:rPr>
          <w:rFonts w:eastAsia="Calibri"/>
          <w:sz w:val="28"/>
          <w:szCs w:val="28"/>
          <w:lang w:eastAsia="en-US"/>
        </w:rPr>
        <w:t xml:space="preserve"> відсотками</w:t>
      </w:r>
      <w:r w:rsidRPr="006F5A3B">
        <w:rPr>
          <w:rFonts w:eastAsia="Calibri"/>
          <w:sz w:val="28"/>
          <w:szCs w:val="22"/>
          <w:lang w:eastAsia="en-US"/>
        </w:rPr>
        <w:t xml:space="preserve"> </w:t>
      </w:r>
      <w:r w:rsidR="004B03E7" w:rsidRPr="006F5A3B">
        <w:rPr>
          <w:rFonts w:eastAsia="Calibri"/>
          <w:sz w:val="28"/>
          <w:szCs w:val="22"/>
          <w:lang w:eastAsia="en-US"/>
        </w:rPr>
        <w:t>на</w:t>
      </w:r>
      <w:r w:rsidRPr="006F5A3B">
        <w:rPr>
          <w:rFonts w:eastAsia="Calibri"/>
          <w:sz w:val="28"/>
          <w:szCs w:val="22"/>
          <w:lang w:eastAsia="en-US"/>
        </w:rPr>
        <w:t xml:space="preserve"> </w:t>
      </w:r>
      <w:r w:rsidRPr="006F5A3B">
        <w:rPr>
          <w:rFonts w:eastAsia="Calibri"/>
          <w:sz w:val="28"/>
          <w:szCs w:val="28"/>
          <w:lang w:eastAsia="en-US"/>
        </w:rPr>
        <w:t>перше</w:t>
      </w:r>
      <w:r w:rsidRPr="006F5A3B">
        <w:rPr>
          <w:rFonts w:eastAsia="Calibri"/>
          <w:sz w:val="28"/>
          <w:szCs w:val="22"/>
          <w:lang w:eastAsia="en-US"/>
        </w:rPr>
        <w:t xml:space="preserve"> читання, у тому числі з урахуванням зміни припущення тривалості війни (впродовж 2024 року), логістики (обмеженість повноцінного користування морськими портами) та міграційних процесів тощо. </w:t>
      </w:r>
    </w:p>
    <w:p w14:paraId="43802465"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Як і у очікуваннях на 2023 рік, так і у прогнозі на 2024 рік було скориговано у бік зменшення показник споживчої інфляції – з 10,8</w:t>
      </w:r>
      <w:r w:rsidRPr="006F5A3B">
        <w:rPr>
          <w:rFonts w:eastAsia="Calibri"/>
          <w:sz w:val="28"/>
          <w:szCs w:val="28"/>
          <w:lang w:eastAsia="en-US"/>
        </w:rPr>
        <w:t xml:space="preserve"> відсотка</w:t>
      </w:r>
      <w:r w:rsidRPr="006F5A3B">
        <w:rPr>
          <w:rFonts w:eastAsia="Calibri"/>
          <w:sz w:val="28"/>
          <w:szCs w:val="22"/>
          <w:lang w:eastAsia="en-US"/>
        </w:rPr>
        <w:t xml:space="preserve"> до 9,7</w:t>
      </w:r>
      <w:r w:rsidRPr="006F5A3B">
        <w:rPr>
          <w:rFonts w:eastAsia="Calibri"/>
          <w:sz w:val="28"/>
          <w:szCs w:val="28"/>
          <w:lang w:eastAsia="en-US"/>
        </w:rPr>
        <w:t xml:space="preserve"> відсотка</w:t>
      </w:r>
      <w:r w:rsidRPr="006F5A3B">
        <w:rPr>
          <w:rFonts w:eastAsia="Calibri"/>
          <w:sz w:val="28"/>
          <w:szCs w:val="22"/>
          <w:lang w:eastAsia="en-US"/>
        </w:rPr>
        <w:t xml:space="preserve"> (у розрахунку грудень до грудня минулого року). Уточнення відбулось на фоні зміни припущень щодо курсу гривні – у середньому за рік 40,7 грн за </w:t>
      </w:r>
      <w:proofErr w:type="spellStart"/>
      <w:r w:rsidRPr="006F5A3B">
        <w:rPr>
          <w:rFonts w:eastAsia="Calibri"/>
          <w:sz w:val="28"/>
          <w:szCs w:val="22"/>
          <w:lang w:eastAsia="en-US"/>
        </w:rPr>
        <w:t>дол</w:t>
      </w:r>
      <w:proofErr w:type="spellEnd"/>
      <w:r w:rsidRPr="006F5A3B">
        <w:rPr>
          <w:rFonts w:eastAsia="Calibri"/>
          <w:sz w:val="28"/>
          <w:szCs w:val="22"/>
          <w:lang w:val="ru-RU" w:eastAsia="en-US"/>
        </w:rPr>
        <w:t>.</w:t>
      </w:r>
      <w:r w:rsidRPr="006F5A3B">
        <w:rPr>
          <w:rFonts w:eastAsia="Calibri"/>
          <w:sz w:val="28"/>
          <w:szCs w:val="22"/>
          <w:lang w:eastAsia="en-US"/>
        </w:rPr>
        <w:t xml:space="preserve"> США </w:t>
      </w:r>
      <w:r w:rsidR="007F005C" w:rsidRPr="006F5A3B">
        <w:rPr>
          <w:rFonts w:eastAsia="Calibri"/>
          <w:sz w:val="28"/>
          <w:szCs w:val="22"/>
          <w:lang w:eastAsia="en-US"/>
        </w:rPr>
        <w:t>до</w:t>
      </w:r>
      <w:r w:rsidRPr="006F5A3B">
        <w:rPr>
          <w:rFonts w:eastAsia="Calibri"/>
          <w:sz w:val="28"/>
          <w:szCs w:val="22"/>
          <w:lang w:eastAsia="en-US"/>
        </w:rPr>
        <w:t xml:space="preserve"> </w:t>
      </w:r>
      <w:r w:rsidRPr="006F5A3B">
        <w:rPr>
          <w:rFonts w:eastAsia="Calibri"/>
          <w:sz w:val="28"/>
          <w:szCs w:val="28"/>
          <w:lang w:eastAsia="en-US"/>
        </w:rPr>
        <w:t>друг</w:t>
      </w:r>
      <w:r w:rsidR="007F005C" w:rsidRPr="006F5A3B">
        <w:rPr>
          <w:rFonts w:eastAsia="Calibri"/>
          <w:sz w:val="28"/>
          <w:szCs w:val="28"/>
          <w:lang w:eastAsia="en-US"/>
        </w:rPr>
        <w:t>ого</w:t>
      </w:r>
      <w:r w:rsidRPr="006F5A3B">
        <w:rPr>
          <w:rFonts w:eastAsia="Calibri"/>
          <w:sz w:val="28"/>
          <w:szCs w:val="22"/>
          <w:lang w:eastAsia="en-US"/>
        </w:rPr>
        <w:t xml:space="preserve"> читання порівняно з 41,4 грн за </w:t>
      </w:r>
      <w:proofErr w:type="spellStart"/>
      <w:r w:rsidRPr="006F5A3B">
        <w:rPr>
          <w:rFonts w:eastAsia="Calibri"/>
          <w:sz w:val="28"/>
          <w:szCs w:val="22"/>
          <w:lang w:eastAsia="en-US"/>
        </w:rPr>
        <w:t>дол</w:t>
      </w:r>
      <w:proofErr w:type="spellEnd"/>
      <w:r w:rsidRPr="006F5A3B">
        <w:rPr>
          <w:rFonts w:eastAsia="Calibri"/>
          <w:sz w:val="28"/>
          <w:szCs w:val="22"/>
          <w:lang w:val="ru-RU" w:eastAsia="en-US"/>
        </w:rPr>
        <w:t>.</w:t>
      </w:r>
      <w:r w:rsidRPr="006F5A3B">
        <w:rPr>
          <w:rFonts w:eastAsia="Calibri"/>
          <w:sz w:val="28"/>
          <w:szCs w:val="22"/>
          <w:lang w:eastAsia="en-US"/>
        </w:rPr>
        <w:t xml:space="preserve"> США у попередньому прогнозі. </w:t>
      </w:r>
    </w:p>
    <w:p w14:paraId="2601182D"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 xml:space="preserve">На фоні уточнення прогнозу темпів зростання реального ВВП та нижчого </w:t>
      </w:r>
      <w:proofErr w:type="spellStart"/>
      <w:r w:rsidRPr="006F5A3B">
        <w:rPr>
          <w:rFonts w:eastAsia="Calibri"/>
          <w:sz w:val="28"/>
          <w:szCs w:val="22"/>
          <w:lang w:eastAsia="en-US"/>
        </w:rPr>
        <w:t>дефлятору</w:t>
      </w:r>
      <w:proofErr w:type="spellEnd"/>
      <w:r w:rsidRPr="006F5A3B">
        <w:rPr>
          <w:rFonts w:eastAsia="Calibri"/>
          <w:sz w:val="28"/>
          <w:szCs w:val="22"/>
          <w:lang w:eastAsia="en-US"/>
        </w:rPr>
        <w:t xml:space="preserve"> ВВП (13</w:t>
      </w:r>
      <w:r w:rsidRPr="006F5A3B">
        <w:rPr>
          <w:rFonts w:eastAsia="Calibri"/>
          <w:sz w:val="28"/>
          <w:szCs w:val="28"/>
          <w:lang w:eastAsia="en-US"/>
        </w:rPr>
        <w:t xml:space="preserve"> відсотків</w:t>
      </w:r>
      <w:r w:rsidRPr="006F5A3B">
        <w:rPr>
          <w:rFonts w:eastAsia="Calibri"/>
          <w:sz w:val="28"/>
          <w:szCs w:val="22"/>
          <w:lang w:eastAsia="en-US"/>
        </w:rPr>
        <w:t xml:space="preserve"> у новому прогнозі порівняно з 17</w:t>
      </w:r>
      <w:r w:rsidRPr="006F5A3B">
        <w:rPr>
          <w:rFonts w:eastAsia="Calibri"/>
          <w:sz w:val="28"/>
          <w:szCs w:val="28"/>
          <w:lang w:eastAsia="en-US"/>
        </w:rPr>
        <w:t xml:space="preserve"> відсотками</w:t>
      </w:r>
      <w:r w:rsidRPr="006F5A3B">
        <w:rPr>
          <w:rFonts w:eastAsia="Calibri"/>
          <w:sz w:val="28"/>
          <w:szCs w:val="22"/>
          <w:lang w:eastAsia="en-US"/>
        </w:rPr>
        <w:t xml:space="preserve"> у попередньому) прогноз обсягу номінального ВВП було змінено в бік зменшення до 7</w:t>
      </w:r>
      <w:r w:rsidR="007F005C" w:rsidRPr="006F5A3B">
        <w:rPr>
          <w:rFonts w:eastAsia="Calibri"/>
          <w:sz w:val="28"/>
          <w:szCs w:val="22"/>
          <w:lang w:eastAsia="en-US"/>
        </w:rPr>
        <w:t> </w:t>
      </w:r>
      <w:r w:rsidRPr="006F5A3B">
        <w:rPr>
          <w:rFonts w:eastAsia="Calibri"/>
          <w:sz w:val="28"/>
          <w:szCs w:val="22"/>
          <w:lang w:eastAsia="en-US"/>
        </w:rPr>
        <w:t xml:space="preserve">643 млрд грн («мінус» 181,8 млрд грн порівняно із прогнозом </w:t>
      </w:r>
      <w:r w:rsidR="007F005C" w:rsidRPr="006F5A3B">
        <w:rPr>
          <w:rFonts w:eastAsia="Calibri"/>
          <w:sz w:val="28"/>
          <w:szCs w:val="22"/>
          <w:lang w:eastAsia="en-US"/>
        </w:rPr>
        <w:t>на</w:t>
      </w:r>
      <w:r w:rsidRPr="006F5A3B">
        <w:rPr>
          <w:rFonts w:eastAsia="Calibri"/>
          <w:sz w:val="28"/>
          <w:szCs w:val="22"/>
          <w:lang w:eastAsia="en-US"/>
        </w:rPr>
        <w:t xml:space="preserve"> </w:t>
      </w:r>
      <w:r w:rsidRPr="006F5A3B">
        <w:rPr>
          <w:rFonts w:eastAsia="Calibri"/>
          <w:sz w:val="28"/>
          <w:szCs w:val="28"/>
          <w:lang w:eastAsia="en-US"/>
        </w:rPr>
        <w:t>перше</w:t>
      </w:r>
      <w:r w:rsidRPr="006F5A3B">
        <w:rPr>
          <w:rFonts w:eastAsia="Calibri"/>
          <w:sz w:val="28"/>
          <w:szCs w:val="22"/>
          <w:lang w:eastAsia="en-US"/>
        </w:rPr>
        <w:t xml:space="preserve"> читання). </w:t>
      </w:r>
    </w:p>
    <w:p w14:paraId="130935E4" w14:textId="77777777" w:rsidR="007E053E" w:rsidRPr="006F5A3B" w:rsidRDefault="007E053E" w:rsidP="007F005C">
      <w:pPr>
        <w:spacing w:after="120"/>
        <w:ind w:firstLine="567"/>
        <w:jc w:val="both"/>
        <w:rPr>
          <w:rFonts w:eastAsia="Calibri"/>
          <w:sz w:val="28"/>
          <w:szCs w:val="28"/>
          <w:lang w:eastAsia="en-US"/>
        </w:rPr>
      </w:pPr>
      <w:r w:rsidRPr="006F5A3B">
        <w:rPr>
          <w:rFonts w:eastAsia="Calibri"/>
          <w:sz w:val="28"/>
          <w:szCs w:val="28"/>
          <w:lang w:eastAsia="en-US"/>
        </w:rPr>
        <w:t xml:space="preserve">За методом кінцевого використання рушіями зростання ВВП у 2024 році залишатимуться споживання домогосподарств (на фоні зростання реальної заробітної плати та повернення громадян із-за кордону </w:t>
      </w:r>
      <w:r w:rsidRPr="006F5A3B">
        <w:rPr>
          <w:rFonts w:eastAsia="Calibri"/>
          <w:sz w:val="28"/>
          <w:szCs w:val="22"/>
          <w:lang w:eastAsia="en-US"/>
        </w:rPr>
        <w:t>–</w:t>
      </w:r>
      <w:r w:rsidRPr="006F5A3B">
        <w:rPr>
          <w:rFonts w:eastAsia="Calibri"/>
          <w:sz w:val="28"/>
          <w:szCs w:val="28"/>
          <w:lang w:eastAsia="en-US"/>
        </w:rPr>
        <w:t xml:space="preserve"> враховано припущення щодо чистого сальдо повернення мігрантів у 2024 році у 1,5 млн громадян), зростання валового нагромадження основного капіталу (на фоні необхідності відновлення енергетичної, транспортної та виробничої інфраструктури, а також, враховуючи продовження військових дій, нарощування обсягів виробництва та імпорту озброєння) та відновлення реального зростання експорту.</w:t>
      </w:r>
      <w:r w:rsidRPr="006F5A3B">
        <w:rPr>
          <w:rFonts w:eastAsia="Calibri"/>
          <w:color w:val="00B050"/>
          <w:sz w:val="28"/>
          <w:szCs w:val="28"/>
          <w:lang w:eastAsia="en-US"/>
        </w:rPr>
        <w:t xml:space="preserve"> </w:t>
      </w:r>
      <w:r w:rsidRPr="006F5A3B">
        <w:rPr>
          <w:rFonts w:eastAsia="Calibri"/>
          <w:sz w:val="28"/>
          <w:szCs w:val="28"/>
          <w:lang w:eastAsia="en-US"/>
        </w:rPr>
        <w:t xml:space="preserve">Разом з тим, в цілому зовнішній сектор справлятиме все ще негативний впив на зростання ВВП і у наступному році – реальне зростання імпорту буде вищим, що пояснюється значним рівнем внутрішнього попиту за всіма його складовими, зокрема у секторі оборони та безпеки, за обмеженого внутрішнього виробництва. </w:t>
      </w:r>
    </w:p>
    <w:p w14:paraId="63652080" w14:textId="77777777" w:rsidR="007E053E" w:rsidRPr="006F5A3B" w:rsidRDefault="007E053E" w:rsidP="007F005C">
      <w:pPr>
        <w:spacing w:after="120"/>
        <w:ind w:firstLine="567"/>
        <w:jc w:val="both"/>
        <w:rPr>
          <w:rFonts w:eastAsia="Calibri"/>
          <w:i/>
          <w:sz w:val="28"/>
          <w:szCs w:val="28"/>
          <w:lang w:eastAsia="en-US"/>
        </w:rPr>
      </w:pPr>
      <w:r w:rsidRPr="006F5A3B">
        <w:rPr>
          <w:rFonts w:eastAsia="Calibri"/>
          <w:sz w:val="28"/>
          <w:szCs w:val="28"/>
          <w:lang w:eastAsia="en-US"/>
        </w:rPr>
        <w:t>Перерахунок прогнозу номінального ВВП викликав необхідність уточнення комп</w:t>
      </w:r>
      <w:r w:rsidR="007F005C" w:rsidRPr="006F5A3B">
        <w:rPr>
          <w:rFonts w:eastAsia="Calibri"/>
          <w:sz w:val="28"/>
          <w:szCs w:val="28"/>
          <w:lang w:eastAsia="en-US"/>
        </w:rPr>
        <w:t>онентів ВВП за методом доходів</w:t>
      </w:r>
      <w:r w:rsidR="007F005C" w:rsidRPr="006F5A3B">
        <w:rPr>
          <w:rFonts w:eastAsia="Calibri"/>
          <w:sz w:val="28"/>
          <w:szCs w:val="28"/>
          <w:lang w:val="ru-RU" w:eastAsia="en-US"/>
        </w:rPr>
        <w:t xml:space="preserve">, </w:t>
      </w:r>
      <w:r w:rsidR="007F005C" w:rsidRPr="006F5A3B">
        <w:rPr>
          <w:rFonts w:eastAsia="Calibri"/>
          <w:sz w:val="28"/>
          <w:szCs w:val="28"/>
          <w:lang w:eastAsia="en-US"/>
        </w:rPr>
        <w:t>зокрема</w:t>
      </w:r>
      <w:r w:rsidRPr="006F5A3B">
        <w:rPr>
          <w:rFonts w:eastAsia="Calibri"/>
          <w:sz w:val="28"/>
          <w:szCs w:val="28"/>
          <w:lang w:eastAsia="en-US"/>
        </w:rPr>
        <w:t xml:space="preserve"> п</w:t>
      </w:r>
      <w:r w:rsidR="007F005C" w:rsidRPr="006F5A3B">
        <w:rPr>
          <w:rFonts w:eastAsia="Calibri"/>
          <w:sz w:val="28"/>
          <w:szCs w:val="28"/>
          <w:lang w:eastAsia="en-US"/>
        </w:rPr>
        <w:t>рибутку прибуткових підприємств</w:t>
      </w:r>
      <w:r w:rsidRPr="006F5A3B">
        <w:rPr>
          <w:rFonts w:eastAsia="Calibri"/>
          <w:sz w:val="28"/>
          <w:szCs w:val="28"/>
          <w:lang w:eastAsia="en-US"/>
        </w:rPr>
        <w:t>. Так, прибутки прибуткових підприємств у 2024 році, хоча і уточнені у бік зменшення порівняно з попереднім прогнозом (менше на 40,8 млрд грн), зростатимуть у порівнянні з 2023 роком в умовах економічного зростання, збільшення цін виробників та незначної девальвації гривні.</w:t>
      </w:r>
      <w:r w:rsidRPr="006F5A3B">
        <w:rPr>
          <w:rFonts w:eastAsia="Calibri"/>
          <w:i/>
          <w:sz w:val="28"/>
          <w:szCs w:val="28"/>
          <w:lang w:eastAsia="en-US"/>
        </w:rPr>
        <w:t xml:space="preserve"> </w:t>
      </w:r>
    </w:p>
    <w:p w14:paraId="399CC2F0"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Фонд оплати праці найманих працівників і грошового забезпечення військовослужбовців також зростатиме у 2024 році порівняно з 2023 роком – до 2</w:t>
      </w:r>
      <w:r w:rsidR="007F005C" w:rsidRPr="006F5A3B">
        <w:rPr>
          <w:rFonts w:eastAsia="Calibri"/>
          <w:sz w:val="28"/>
          <w:szCs w:val="22"/>
          <w:lang w:eastAsia="en-US"/>
        </w:rPr>
        <w:t> </w:t>
      </w:r>
      <w:r w:rsidRPr="006F5A3B">
        <w:rPr>
          <w:rFonts w:eastAsia="Calibri"/>
          <w:sz w:val="28"/>
          <w:szCs w:val="22"/>
          <w:lang w:eastAsia="en-US"/>
        </w:rPr>
        <w:t xml:space="preserve">346,3 </w:t>
      </w:r>
      <w:r w:rsidRPr="006F5A3B">
        <w:rPr>
          <w:rFonts w:eastAsia="Calibri"/>
          <w:sz w:val="28"/>
          <w:szCs w:val="28"/>
          <w:lang w:eastAsia="en-US"/>
        </w:rPr>
        <w:t xml:space="preserve">млрд грн (на 288,5 млрд грн вище, ніж було враховано </w:t>
      </w:r>
      <w:r w:rsidR="007F005C" w:rsidRPr="006F5A3B">
        <w:rPr>
          <w:rFonts w:eastAsia="Calibri"/>
          <w:sz w:val="28"/>
          <w:szCs w:val="28"/>
          <w:lang w:eastAsia="en-US"/>
        </w:rPr>
        <w:t>на</w:t>
      </w:r>
      <w:r w:rsidRPr="006F5A3B">
        <w:rPr>
          <w:rFonts w:eastAsia="Calibri"/>
          <w:sz w:val="28"/>
          <w:szCs w:val="28"/>
          <w:lang w:eastAsia="en-US"/>
        </w:rPr>
        <w:t xml:space="preserve"> перше читання, головним чином за рахунок уточнення припущень щодо грошового забезпечення військовослужбовців).</w:t>
      </w:r>
    </w:p>
    <w:p w14:paraId="4DEF555E"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lastRenderedPageBreak/>
        <w:t>Враховуючи меншу споживчу інфляцію, прогноз зміни реальної заробітної плати збільшено з «плюс» 6</w:t>
      </w:r>
      <w:r w:rsidRPr="006F5A3B">
        <w:rPr>
          <w:rFonts w:eastAsia="Calibri"/>
          <w:sz w:val="28"/>
          <w:szCs w:val="28"/>
          <w:lang w:eastAsia="en-US"/>
        </w:rPr>
        <w:t xml:space="preserve"> відсотків</w:t>
      </w:r>
      <w:r w:rsidRPr="006F5A3B">
        <w:rPr>
          <w:rFonts w:eastAsia="Calibri"/>
          <w:sz w:val="28"/>
          <w:szCs w:val="22"/>
          <w:lang w:eastAsia="en-US"/>
        </w:rPr>
        <w:t xml:space="preserve"> до «плюс» 8,5</w:t>
      </w:r>
      <w:r w:rsidRPr="006F5A3B">
        <w:rPr>
          <w:rFonts w:eastAsia="Calibri"/>
          <w:sz w:val="28"/>
          <w:szCs w:val="28"/>
          <w:lang w:eastAsia="en-US"/>
        </w:rPr>
        <w:t xml:space="preserve"> відсотка</w:t>
      </w:r>
      <w:r w:rsidRPr="006F5A3B">
        <w:rPr>
          <w:rFonts w:eastAsia="Calibri"/>
          <w:sz w:val="28"/>
          <w:szCs w:val="22"/>
          <w:lang w:eastAsia="en-US"/>
        </w:rPr>
        <w:t>. При цьому прогноз рівня безробіття  скориговано до 18,7</w:t>
      </w:r>
      <w:r w:rsidRPr="006F5A3B">
        <w:rPr>
          <w:rFonts w:eastAsia="Calibri"/>
          <w:sz w:val="28"/>
          <w:szCs w:val="28"/>
          <w:lang w:eastAsia="en-US"/>
        </w:rPr>
        <w:t xml:space="preserve"> відсотка. Уточнений прогноз враховує дещо меншу номінальну середньомісячну заробітну плату - </w:t>
      </w:r>
      <w:r w:rsidRPr="006F5A3B">
        <w:rPr>
          <w:rFonts w:eastAsia="Calibri"/>
          <w:sz w:val="28"/>
          <w:szCs w:val="22"/>
          <w:lang w:eastAsia="en-US"/>
        </w:rPr>
        <w:t>21 809 грн (</w:t>
      </w:r>
      <w:r w:rsidR="007F005C" w:rsidRPr="006F5A3B">
        <w:rPr>
          <w:rFonts w:eastAsia="Calibri"/>
          <w:sz w:val="28"/>
          <w:szCs w:val="22"/>
          <w:lang w:eastAsia="en-US"/>
        </w:rPr>
        <w:t>до</w:t>
      </w:r>
      <w:r w:rsidRPr="006F5A3B">
        <w:rPr>
          <w:rFonts w:eastAsia="Calibri"/>
          <w:sz w:val="28"/>
          <w:szCs w:val="22"/>
          <w:lang w:eastAsia="en-US"/>
        </w:rPr>
        <w:t xml:space="preserve"> друг</w:t>
      </w:r>
      <w:r w:rsidR="007F005C" w:rsidRPr="006F5A3B">
        <w:rPr>
          <w:rFonts w:eastAsia="Calibri"/>
          <w:sz w:val="28"/>
          <w:szCs w:val="22"/>
          <w:lang w:eastAsia="en-US"/>
        </w:rPr>
        <w:t xml:space="preserve">ого </w:t>
      </w:r>
      <w:r w:rsidRPr="006F5A3B">
        <w:rPr>
          <w:rFonts w:eastAsia="Calibri"/>
          <w:sz w:val="28"/>
          <w:szCs w:val="22"/>
          <w:lang w:eastAsia="en-US"/>
        </w:rPr>
        <w:t>читання)</w:t>
      </w:r>
      <w:r w:rsidRPr="006F5A3B">
        <w:rPr>
          <w:rFonts w:eastAsia="Calibri"/>
          <w:sz w:val="28"/>
          <w:szCs w:val="28"/>
          <w:lang w:eastAsia="en-US"/>
        </w:rPr>
        <w:t xml:space="preserve"> порівняно з </w:t>
      </w:r>
      <w:r w:rsidRPr="006F5A3B">
        <w:rPr>
          <w:rFonts w:eastAsia="Calibri"/>
          <w:sz w:val="28"/>
          <w:szCs w:val="22"/>
          <w:lang w:eastAsia="en-US"/>
        </w:rPr>
        <w:t>21 852 грн (</w:t>
      </w:r>
      <w:r w:rsidR="007F005C" w:rsidRPr="006F5A3B">
        <w:rPr>
          <w:rFonts w:eastAsia="Calibri"/>
          <w:sz w:val="28"/>
          <w:szCs w:val="22"/>
          <w:lang w:eastAsia="en-US"/>
        </w:rPr>
        <w:t>на</w:t>
      </w:r>
      <w:r w:rsidRPr="006F5A3B">
        <w:rPr>
          <w:rFonts w:eastAsia="Calibri"/>
          <w:sz w:val="28"/>
          <w:szCs w:val="22"/>
          <w:lang w:eastAsia="en-US"/>
        </w:rPr>
        <w:t xml:space="preserve"> </w:t>
      </w:r>
      <w:r w:rsidRPr="006F5A3B">
        <w:rPr>
          <w:rFonts w:eastAsia="Calibri"/>
          <w:sz w:val="28"/>
          <w:szCs w:val="28"/>
          <w:lang w:eastAsia="en-US"/>
        </w:rPr>
        <w:t>перше</w:t>
      </w:r>
      <w:r w:rsidRPr="006F5A3B">
        <w:rPr>
          <w:rFonts w:eastAsia="Calibri"/>
          <w:sz w:val="28"/>
          <w:szCs w:val="22"/>
          <w:lang w:eastAsia="en-US"/>
        </w:rPr>
        <w:t xml:space="preserve"> читання), що пояснюється зменшенням очікувань щодо інфляції та динамікою виробництва.</w:t>
      </w:r>
    </w:p>
    <w:p w14:paraId="71AACB5D" w14:textId="77777777" w:rsidR="007E053E" w:rsidRPr="006F5A3B" w:rsidRDefault="007E053E" w:rsidP="007F005C">
      <w:pPr>
        <w:spacing w:after="120"/>
        <w:ind w:firstLine="567"/>
        <w:jc w:val="both"/>
        <w:rPr>
          <w:rFonts w:eastAsia="Calibri"/>
          <w:sz w:val="28"/>
          <w:szCs w:val="22"/>
          <w:lang w:eastAsia="en-US"/>
        </w:rPr>
      </w:pPr>
      <w:r w:rsidRPr="006F5A3B">
        <w:rPr>
          <w:rFonts w:eastAsia="Calibri"/>
          <w:sz w:val="28"/>
          <w:szCs w:val="22"/>
          <w:lang w:eastAsia="en-US"/>
        </w:rPr>
        <w:t>Суттєво скориговано показники зовнішньої торгівлі. Обсяги експорту товарів і послуг в уточне</w:t>
      </w:r>
      <w:r w:rsidR="007F005C" w:rsidRPr="006F5A3B">
        <w:rPr>
          <w:rFonts w:eastAsia="Calibri"/>
          <w:sz w:val="28"/>
          <w:szCs w:val="22"/>
          <w:lang w:eastAsia="en-US"/>
        </w:rPr>
        <w:t>ному прогнозі очікуються на 5,6 млрд </w:t>
      </w:r>
      <w:proofErr w:type="spellStart"/>
      <w:r w:rsidR="007F005C" w:rsidRPr="006F5A3B">
        <w:rPr>
          <w:rFonts w:eastAsia="Calibri"/>
          <w:sz w:val="28"/>
          <w:szCs w:val="22"/>
          <w:lang w:eastAsia="en-US"/>
        </w:rPr>
        <w:t>дол</w:t>
      </w:r>
      <w:proofErr w:type="spellEnd"/>
      <w:r w:rsidR="007F005C" w:rsidRPr="006F5A3B">
        <w:rPr>
          <w:rFonts w:eastAsia="Calibri"/>
          <w:sz w:val="28"/>
          <w:szCs w:val="22"/>
          <w:lang w:eastAsia="en-US"/>
        </w:rPr>
        <w:t>. США меншими за</w:t>
      </w:r>
      <w:r w:rsidRPr="006F5A3B">
        <w:rPr>
          <w:rFonts w:eastAsia="Calibri"/>
          <w:sz w:val="28"/>
          <w:szCs w:val="22"/>
          <w:lang w:eastAsia="en-US"/>
        </w:rPr>
        <w:t xml:space="preserve"> ті, що було наведено у попередньому прогнозі з тих самих причин, що були і під час коригування очікувань 2023 року, тоді як прогноз збільшення імпорту товарів і послуг </w:t>
      </w:r>
      <w:r w:rsidR="00BF4DBA" w:rsidRPr="006F5A3B">
        <w:rPr>
          <w:rFonts w:eastAsia="Calibri"/>
          <w:sz w:val="28"/>
          <w:szCs w:val="22"/>
          <w:lang w:eastAsia="en-US"/>
        </w:rPr>
        <w:t>змінено у бік підвищення на 9,7 млрд </w:t>
      </w:r>
      <w:proofErr w:type="spellStart"/>
      <w:r w:rsidR="00BF4DBA" w:rsidRPr="006F5A3B">
        <w:rPr>
          <w:rFonts w:eastAsia="Calibri"/>
          <w:sz w:val="28"/>
          <w:szCs w:val="22"/>
          <w:lang w:eastAsia="en-US"/>
        </w:rPr>
        <w:t>дол</w:t>
      </w:r>
      <w:proofErr w:type="spellEnd"/>
      <w:r w:rsidR="00BF4DBA" w:rsidRPr="006F5A3B">
        <w:rPr>
          <w:rFonts w:eastAsia="Calibri"/>
          <w:sz w:val="28"/>
          <w:szCs w:val="22"/>
          <w:lang w:eastAsia="en-US"/>
        </w:rPr>
        <w:t xml:space="preserve">. </w:t>
      </w:r>
      <w:r w:rsidRPr="006F5A3B">
        <w:rPr>
          <w:rFonts w:eastAsia="Calibri"/>
          <w:sz w:val="28"/>
          <w:szCs w:val="22"/>
          <w:lang w:eastAsia="en-US"/>
        </w:rPr>
        <w:t xml:space="preserve">США саме через зміну припущень щодо тривалості та інтенсивності воєнних дій на території України, а також міграційних процесів. </w:t>
      </w:r>
    </w:p>
    <w:p w14:paraId="4048B548" w14:textId="77777777" w:rsidR="007E053E" w:rsidRPr="006F5A3B" w:rsidRDefault="007E053E" w:rsidP="00BF4DBA">
      <w:pPr>
        <w:keepNext/>
        <w:spacing w:after="120"/>
        <w:ind w:firstLine="567"/>
        <w:jc w:val="center"/>
        <w:rPr>
          <w:rFonts w:eastAsia="Calibri"/>
          <w:sz w:val="28"/>
          <w:szCs w:val="28"/>
          <w:lang w:eastAsia="en-US"/>
        </w:rPr>
      </w:pPr>
      <w:r w:rsidRPr="006F5A3B">
        <w:rPr>
          <w:rFonts w:eastAsia="Calibri"/>
          <w:sz w:val="28"/>
          <w:szCs w:val="28"/>
          <w:lang w:eastAsia="en-US"/>
        </w:rPr>
        <w:t xml:space="preserve">Основні прогнозні </w:t>
      </w:r>
      <w:proofErr w:type="spellStart"/>
      <w:r w:rsidRPr="006F5A3B">
        <w:rPr>
          <w:rFonts w:eastAsia="Calibri"/>
          <w:sz w:val="28"/>
          <w:szCs w:val="28"/>
          <w:lang w:eastAsia="en-US"/>
        </w:rPr>
        <w:t>макропоказники</w:t>
      </w:r>
      <w:proofErr w:type="spellEnd"/>
      <w:r w:rsidRPr="006F5A3B">
        <w:rPr>
          <w:rFonts w:eastAsia="Calibri"/>
          <w:sz w:val="28"/>
          <w:szCs w:val="28"/>
          <w:lang w:eastAsia="en-US"/>
        </w:rPr>
        <w:t xml:space="preserve"> економічного і соціального розвитку України та окремі припущення на 2022 – 2024 роки</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57"/>
        <w:gridCol w:w="913"/>
        <w:gridCol w:w="1573"/>
        <w:gridCol w:w="1579"/>
        <w:gridCol w:w="1575"/>
        <w:gridCol w:w="1349"/>
      </w:tblGrid>
      <w:tr w:rsidR="007E053E" w:rsidRPr="006F5A3B" w14:paraId="364C8CBD" w14:textId="77777777" w:rsidTr="009C1067">
        <w:trPr>
          <w:tblHeader/>
          <w:jc w:val="center"/>
        </w:trPr>
        <w:tc>
          <w:tcPr>
            <w:tcW w:w="1486" w:type="pct"/>
            <w:vMerge w:val="restart"/>
            <w:shd w:val="clear" w:color="auto" w:fill="auto"/>
            <w:vAlign w:val="center"/>
            <w:hideMark/>
          </w:tcPr>
          <w:p w14:paraId="405F66CB" w14:textId="77777777" w:rsidR="007E053E" w:rsidRPr="006F5A3B" w:rsidRDefault="007E053E" w:rsidP="00BF4DBA">
            <w:pPr>
              <w:spacing w:after="120"/>
              <w:jc w:val="center"/>
              <w:rPr>
                <w:lang w:eastAsia="uk-UA"/>
              </w:rPr>
            </w:pPr>
            <w:r w:rsidRPr="006F5A3B">
              <w:rPr>
                <w:lang w:eastAsia="uk-UA"/>
              </w:rPr>
              <w:t>Назва</w:t>
            </w:r>
          </w:p>
        </w:tc>
        <w:tc>
          <w:tcPr>
            <w:tcW w:w="459" w:type="pct"/>
            <w:shd w:val="clear" w:color="auto" w:fill="auto"/>
            <w:vAlign w:val="center"/>
            <w:hideMark/>
          </w:tcPr>
          <w:p w14:paraId="26F75935" w14:textId="77777777" w:rsidR="007E053E" w:rsidRPr="006F5A3B" w:rsidRDefault="007E053E" w:rsidP="00BF4DBA">
            <w:pPr>
              <w:spacing w:after="120"/>
              <w:jc w:val="center"/>
              <w:rPr>
                <w:lang w:eastAsia="uk-UA"/>
              </w:rPr>
            </w:pPr>
            <w:r w:rsidRPr="006F5A3B">
              <w:rPr>
                <w:lang w:eastAsia="uk-UA"/>
              </w:rPr>
              <w:t>2022</w:t>
            </w:r>
          </w:p>
        </w:tc>
        <w:tc>
          <w:tcPr>
            <w:tcW w:w="1585" w:type="pct"/>
            <w:gridSpan w:val="2"/>
          </w:tcPr>
          <w:p w14:paraId="7A260976" w14:textId="77777777" w:rsidR="007E053E" w:rsidRPr="006F5A3B" w:rsidRDefault="007E053E" w:rsidP="00BF4DBA">
            <w:pPr>
              <w:spacing w:after="120"/>
              <w:jc w:val="center"/>
              <w:rPr>
                <w:lang w:eastAsia="uk-UA"/>
              </w:rPr>
            </w:pPr>
            <w:r w:rsidRPr="006F5A3B">
              <w:rPr>
                <w:lang w:eastAsia="uk-UA"/>
              </w:rPr>
              <w:t>2023</w:t>
            </w:r>
          </w:p>
        </w:tc>
        <w:tc>
          <w:tcPr>
            <w:tcW w:w="1470" w:type="pct"/>
            <w:gridSpan w:val="2"/>
          </w:tcPr>
          <w:p w14:paraId="2045F173" w14:textId="77777777" w:rsidR="007E053E" w:rsidRPr="006F5A3B" w:rsidRDefault="007E053E" w:rsidP="00BF4DBA">
            <w:pPr>
              <w:spacing w:after="120"/>
              <w:jc w:val="center"/>
              <w:rPr>
                <w:lang w:eastAsia="uk-UA"/>
              </w:rPr>
            </w:pPr>
            <w:r w:rsidRPr="006F5A3B">
              <w:rPr>
                <w:lang w:eastAsia="uk-UA"/>
              </w:rPr>
              <w:t>2024</w:t>
            </w:r>
          </w:p>
        </w:tc>
      </w:tr>
      <w:tr w:rsidR="007E053E" w:rsidRPr="006F5A3B" w14:paraId="7CA47D89" w14:textId="77777777" w:rsidTr="009C1067">
        <w:trPr>
          <w:tblHeader/>
          <w:jc w:val="center"/>
        </w:trPr>
        <w:tc>
          <w:tcPr>
            <w:tcW w:w="1486" w:type="pct"/>
            <w:vMerge/>
            <w:vAlign w:val="center"/>
            <w:hideMark/>
          </w:tcPr>
          <w:p w14:paraId="31BFFED6" w14:textId="77777777" w:rsidR="007E053E" w:rsidRPr="006F5A3B" w:rsidRDefault="007E053E" w:rsidP="007E053E">
            <w:pPr>
              <w:jc w:val="center"/>
              <w:rPr>
                <w:lang w:eastAsia="uk-UA"/>
              </w:rPr>
            </w:pPr>
          </w:p>
        </w:tc>
        <w:tc>
          <w:tcPr>
            <w:tcW w:w="459" w:type="pct"/>
            <w:shd w:val="clear" w:color="auto" w:fill="auto"/>
            <w:vAlign w:val="center"/>
            <w:hideMark/>
          </w:tcPr>
          <w:p w14:paraId="2DA018DB" w14:textId="77777777" w:rsidR="007E053E" w:rsidRPr="006F5A3B" w:rsidRDefault="007E053E" w:rsidP="007E053E">
            <w:pPr>
              <w:jc w:val="center"/>
              <w:rPr>
                <w:sz w:val="20"/>
                <w:szCs w:val="20"/>
                <w:lang w:eastAsia="uk-UA"/>
              </w:rPr>
            </w:pPr>
            <w:r w:rsidRPr="006F5A3B">
              <w:rPr>
                <w:sz w:val="20"/>
                <w:szCs w:val="20"/>
                <w:lang w:eastAsia="uk-UA"/>
              </w:rPr>
              <w:t>Звіт</w:t>
            </w:r>
          </w:p>
        </w:tc>
        <w:tc>
          <w:tcPr>
            <w:tcW w:w="791" w:type="pct"/>
            <w:shd w:val="clear" w:color="auto" w:fill="auto"/>
            <w:vAlign w:val="center"/>
            <w:hideMark/>
          </w:tcPr>
          <w:p w14:paraId="71E65D7A" w14:textId="77777777" w:rsidR="007E053E" w:rsidRPr="006F5A3B" w:rsidRDefault="007E053E" w:rsidP="007E053E">
            <w:pPr>
              <w:jc w:val="center"/>
              <w:rPr>
                <w:sz w:val="20"/>
                <w:szCs w:val="20"/>
                <w:lang w:eastAsia="uk-UA"/>
              </w:rPr>
            </w:pPr>
            <w:r w:rsidRPr="006F5A3B">
              <w:rPr>
                <w:rFonts w:eastAsia="Calibri"/>
                <w:sz w:val="20"/>
                <w:szCs w:val="20"/>
                <w:lang w:eastAsia="ja-JP"/>
              </w:rPr>
              <w:t>О</w:t>
            </w:r>
            <w:r w:rsidRPr="006F5A3B">
              <w:rPr>
                <w:sz w:val="20"/>
                <w:szCs w:val="20"/>
                <w:lang w:eastAsia="uk-UA"/>
              </w:rPr>
              <w:t>чікуване</w:t>
            </w:r>
          </w:p>
          <w:p w14:paraId="2D9CFBF2" w14:textId="77777777" w:rsidR="007E053E" w:rsidRPr="006F5A3B" w:rsidRDefault="007E053E" w:rsidP="007E053E">
            <w:pPr>
              <w:jc w:val="center"/>
              <w:rPr>
                <w:sz w:val="20"/>
                <w:szCs w:val="20"/>
                <w:lang w:eastAsia="uk-UA"/>
              </w:rPr>
            </w:pPr>
            <w:r w:rsidRPr="006F5A3B">
              <w:rPr>
                <w:sz w:val="20"/>
                <w:szCs w:val="20"/>
                <w:lang w:eastAsia="uk-UA"/>
              </w:rPr>
              <w:t>Мінекономіки (станом на 29.06.2023,</w:t>
            </w:r>
          </w:p>
          <w:p w14:paraId="7A7A38AB" w14:textId="77777777" w:rsidR="007E053E" w:rsidRPr="006F5A3B" w:rsidRDefault="007E053E" w:rsidP="007E053E">
            <w:pPr>
              <w:jc w:val="center"/>
              <w:rPr>
                <w:sz w:val="20"/>
                <w:szCs w:val="20"/>
                <w:lang w:eastAsia="uk-UA"/>
              </w:rPr>
            </w:pPr>
            <w:r w:rsidRPr="006F5A3B">
              <w:rPr>
                <w:sz w:val="20"/>
                <w:szCs w:val="20"/>
                <w:lang w:eastAsia="uk-UA"/>
              </w:rPr>
              <w:t>під І читання)</w:t>
            </w:r>
          </w:p>
        </w:tc>
        <w:tc>
          <w:tcPr>
            <w:tcW w:w="794" w:type="pct"/>
            <w:vAlign w:val="center"/>
          </w:tcPr>
          <w:p w14:paraId="3DDCFC72" w14:textId="77777777" w:rsidR="007E053E" w:rsidRPr="006F5A3B" w:rsidRDefault="007E053E" w:rsidP="007E053E">
            <w:pPr>
              <w:jc w:val="center"/>
              <w:rPr>
                <w:sz w:val="20"/>
                <w:szCs w:val="20"/>
                <w:lang w:eastAsia="uk-UA"/>
              </w:rPr>
            </w:pPr>
            <w:r w:rsidRPr="006F5A3B">
              <w:rPr>
                <w:rFonts w:eastAsia="Calibri"/>
                <w:sz w:val="20"/>
                <w:szCs w:val="20"/>
                <w:lang w:eastAsia="ja-JP"/>
              </w:rPr>
              <w:t>О</w:t>
            </w:r>
            <w:r w:rsidRPr="006F5A3B">
              <w:rPr>
                <w:sz w:val="20"/>
                <w:szCs w:val="20"/>
                <w:lang w:eastAsia="uk-UA"/>
              </w:rPr>
              <w:t>чікуване</w:t>
            </w:r>
          </w:p>
          <w:p w14:paraId="61CD72DC" w14:textId="77777777" w:rsidR="007E053E" w:rsidRPr="006F5A3B" w:rsidRDefault="007E053E" w:rsidP="007E053E">
            <w:pPr>
              <w:jc w:val="center"/>
              <w:rPr>
                <w:sz w:val="20"/>
                <w:szCs w:val="20"/>
                <w:lang w:eastAsia="uk-UA"/>
              </w:rPr>
            </w:pPr>
            <w:r w:rsidRPr="006F5A3B">
              <w:rPr>
                <w:sz w:val="20"/>
                <w:szCs w:val="20"/>
                <w:lang w:eastAsia="uk-UA"/>
              </w:rPr>
              <w:t>Мінекономіки (станом на 24.10.2023,</w:t>
            </w:r>
          </w:p>
          <w:p w14:paraId="21BC4CC6" w14:textId="77777777" w:rsidR="007E053E" w:rsidRPr="006F5A3B" w:rsidRDefault="007E053E" w:rsidP="007E053E">
            <w:pPr>
              <w:jc w:val="center"/>
              <w:rPr>
                <w:rFonts w:eastAsia="Calibri"/>
                <w:sz w:val="20"/>
                <w:szCs w:val="20"/>
                <w:lang w:eastAsia="ja-JP"/>
              </w:rPr>
            </w:pPr>
            <w:r w:rsidRPr="006F5A3B">
              <w:rPr>
                <w:sz w:val="20"/>
                <w:szCs w:val="20"/>
                <w:lang w:eastAsia="uk-UA"/>
              </w:rPr>
              <w:t>під ІІ читання)</w:t>
            </w:r>
          </w:p>
        </w:tc>
        <w:tc>
          <w:tcPr>
            <w:tcW w:w="792" w:type="pct"/>
            <w:shd w:val="clear" w:color="auto" w:fill="auto"/>
            <w:vAlign w:val="center"/>
          </w:tcPr>
          <w:p w14:paraId="4FD9FC27" w14:textId="77777777" w:rsidR="007E053E" w:rsidRPr="006F5A3B" w:rsidRDefault="007E053E" w:rsidP="007E053E">
            <w:pPr>
              <w:jc w:val="center"/>
              <w:rPr>
                <w:sz w:val="20"/>
                <w:szCs w:val="20"/>
                <w:lang w:eastAsia="uk-UA"/>
              </w:rPr>
            </w:pPr>
            <w:r w:rsidRPr="006F5A3B">
              <w:rPr>
                <w:rFonts w:eastAsia="Calibri"/>
                <w:sz w:val="20"/>
                <w:szCs w:val="20"/>
                <w:lang w:eastAsia="ja-JP"/>
              </w:rPr>
              <w:t>Прогноз</w:t>
            </w:r>
          </w:p>
          <w:p w14:paraId="78AB5528" w14:textId="77777777" w:rsidR="007E053E" w:rsidRPr="006F5A3B" w:rsidRDefault="007E053E" w:rsidP="007E053E">
            <w:pPr>
              <w:jc w:val="center"/>
              <w:rPr>
                <w:sz w:val="20"/>
                <w:szCs w:val="20"/>
                <w:lang w:eastAsia="uk-UA"/>
              </w:rPr>
            </w:pPr>
            <w:r w:rsidRPr="006F5A3B">
              <w:rPr>
                <w:sz w:val="20"/>
                <w:szCs w:val="20"/>
                <w:lang w:eastAsia="uk-UA"/>
              </w:rPr>
              <w:t>Мінекономіки (станом на 29.06.2023,</w:t>
            </w:r>
          </w:p>
          <w:p w14:paraId="5FEEDC6F" w14:textId="77777777" w:rsidR="007E053E" w:rsidRPr="006F5A3B" w:rsidRDefault="007E053E" w:rsidP="007E053E">
            <w:pPr>
              <w:jc w:val="center"/>
              <w:rPr>
                <w:sz w:val="20"/>
                <w:szCs w:val="20"/>
                <w:lang w:eastAsia="uk-UA"/>
              </w:rPr>
            </w:pPr>
            <w:r w:rsidRPr="006F5A3B">
              <w:rPr>
                <w:sz w:val="20"/>
                <w:szCs w:val="20"/>
                <w:lang w:eastAsia="uk-UA"/>
              </w:rPr>
              <w:t>під І читання)</w:t>
            </w:r>
          </w:p>
        </w:tc>
        <w:tc>
          <w:tcPr>
            <w:tcW w:w="679" w:type="pct"/>
            <w:vAlign w:val="center"/>
          </w:tcPr>
          <w:p w14:paraId="698B86BB" w14:textId="77777777" w:rsidR="007E053E" w:rsidRPr="006F5A3B" w:rsidRDefault="007E053E" w:rsidP="007E053E">
            <w:pPr>
              <w:jc w:val="center"/>
              <w:rPr>
                <w:sz w:val="20"/>
                <w:szCs w:val="20"/>
                <w:lang w:eastAsia="uk-UA"/>
              </w:rPr>
            </w:pPr>
            <w:r w:rsidRPr="006F5A3B">
              <w:rPr>
                <w:rFonts w:eastAsia="Calibri"/>
                <w:sz w:val="20"/>
                <w:szCs w:val="20"/>
                <w:lang w:eastAsia="ja-JP"/>
              </w:rPr>
              <w:t>Прогноз</w:t>
            </w:r>
          </w:p>
          <w:p w14:paraId="28BCB02B" w14:textId="77777777" w:rsidR="007E053E" w:rsidRPr="006F5A3B" w:rsidRDefault="007E053E" w:rsidP="007E053E">
            <w:pPr>
              <w:jc w:val="center"/>
              <w:rPr>
                <w:sz w:val="20"/>
                <w:szCs w:val="20"/>
                <w:lang w:eastAsia="uk-UA"/>
              </w:rPr>
            </w:pPr>
            <w:r w:rsidRPr="006F5A3B">
              <w:rPr>
                <w:sz w:val="20"/>
                <w:szCs w:val="20"/>
                <w:lang w:eastAsia="uk-UA"/>
              </w:rPr>
              <w:t>Мінекономіки</w:t>
            </w:r>
          </w:p>
          <w:p w14:paraId="69BF1B3D" w14:textId="77777777" w:rsidR="007E053E" w:rsidRPr="006F5A3B" w:rsidRDefault="007E053E" w:rsidP="007E053E">
            <w:pPr>
              <w:jc w:val="center"/>
              <w:rPr>
                <w:sz w:val="20"/>
                <w:szCs w:val="20"/>
                <w:lang w:eastAsia="uk-UA"/>
              </w:rPr>
            </w:pPr>
            <w:r w:rsidRPr="006F5A3B">
              <w:rPr>
                <w:sz w:val="20"/>
                <w:szCs w:val="20"/>
                <w:lang w:eastAsia="uk-UA"/>
              </w:rPr>
              <w:t>(станом на 24.10.2023,</w:t>
            </w:r>
          </w:p>
          <w:p w14:paraId="6384E726" w14:textId="77777777" w:rsidR="007E053E" w:rsidRPr="006F5A3B" w:rsidRDefault="007E053E" w:rsidP="007E053E">
            <w:pPr>
              <w:jc w:val="center"/>
              <w:rPr>
                <w:rFonts w:eastAsia="Calibri"/>
                <w:sz w:val="20"/>
                <w:szCs w:val="20"/>
                <w:lang w:eastAsia="ja-JP"/>
              </w:rPr>
            </w:pPr>
            <w:r w:rsidRPr="006F5A3B">
              <w:rPr>
                <w:sz w:val="20"/>
                <w:szCs w:val="20"/>
                <w:lang w:eastAsia="uk-UA"/>
              </w:rPr>
              <w:t>під ІІ читання)</w:t>
            </w:r>
          </w:p>
        </w:tc>
      </w:tr>
      <w:tr w:rsidR="007E053E" w:rsidRPr="006F5A3B" w14:paraId="12DB68D9" w14:textId="77777777" w:rsidTr="009C1067">
        <w:trPr>
          <w:jc w:val="center"/>
        </w:trPr>
        <w:tc>
          <w:tcPr>
            <w:tcW w:w="1486" w:type="pct"/>
            <w:shd w:val="clear" w:color="auto" w:fill="auto"/>
            <w:hideMark/>
          </w:tcPr>
          <w:p w14:paraId="4D70DDB7" w14:textId="77777777" w:rsidR="007E053E" w:rsidRPr="006F5A3B" w:rsidRDefault="007E053E" w:rsidP="007E053E">
            <w:pPr>
              <w:rPr>
                <w:bCs/>
                <w:lang w:eastAsia="uk-UA"/>
              </w:rPr>
            </w:pPr>
            <w:r w:rsidRPr="006F5A3B">
              <w:rPr>
                <w:bCs/>
                <w:lang w:eastAsia="uk-UA"/>
              </w:rPr>
              <w:t>Валовий внутрішній продукт:</w:t>
            </w:r>
          </w:p>
        </w:tc>
        <w:tc>
          <w:tcPr>
            <w:tcW w:w="459" w:type="pct"/>
            <w:shd w:val="clear" w:color="auto" w:fill="auto"/>
            <w:vAlign w:val="bottom"/>
            <w:hideMark/>
          </w:tcPr>
          <w:p w14:paraId="7DF69383" w14:textId="77777777" w:rsidR="007E053E" w:rsidRPr="006F5A3B" w:rsidRDefault="007E053E" w:rsidP="007E053E">
            <w:pPr>
              <w:jc w:val="center"/>
              <w:rPr>
                <w:lang w:eastAsia="uk-UA"/>
              </w:rPr>
            </w:pPr>
          </w:p>
        </w:tc>
        <w:tc>
          <w:tcPr>
            <w:tcW w:w="791" w:type="pct"/>
            <w:shd w:val="clear" w:color="auto" w:fill="auto"/>
            <w:vAlign w:val="bottom"/>
            <w:hideMark/>
          </w:tcPr>
          <w:p w14:paraId="77860737" w14:textId="77777777" w:rsidR="007E053E" w:rsidRPr="006F5A3B" w:rsidRDefault="007E053E" w:rsidP="007E053E">
            <w:pPr>
              <w:jc w:val="center"/>
              <w:rPr>
                <w:lang w:eastAsia="uk-UA"/>
              </w:rPr>
            </w:pPr>
          </w:p>
        </w:tc>
        <w:tc>
          <w:tcPr>
            <w:tcW w:w="794" w:type="pct"/>
          </w:tcPr>
          <w:p w14:paraId="6BCFC848" w14:textId="77777777" w:rsidR="007E053E" w:rsidRPr="006F5A3B" w:rsidRDefault="007E053E" w:rsidP="007E053E">
            <w:pPr>
              <w:jc w:val="center"/>
              <w:rPr>
                <w:lang w:eastAsia="uk-UA"/>
              </w:rPr>
            </w:pPr>
          </w:p>
        </w:tc>
        <w:tc>
          <w:tcPr>
            <w:tcW w:w="792" w:type="pct"/>
            <w:shd w:val="clear" w:color="auto" w:fill="auto"/>
            <w:vAlign w:val="bottom"/>
          </w:tcPr>
          <w:p w14:paraId="1D436360" w14:textId="77777777" w:rsidR="007E053E" w:rsidRPr="006F5A3B" w:rsidRDefault="007E053E" w:rsidP="007E053E">
            <w:pPr>
              <w:jc w:val="center"/>
              <w:rPr>
                <w:lang w:eastAsia="uk-UA"/>
              </w:rPr>
            </w:pPr>
          </w:p>
        </w:tc>
        <w:tc>
          <w:tcPr>
            <w:tcW w:w="679" w:type="pct"/>
          </w:tcPr>
          <w:p w14:paraId="3D481F09" w14:textId="77777777" w:rsidR="007E053E" w:rsidRPr="006F5A3B" w:rsidRDefault="007E053E" w:rsidP="007E053E">
            <w:pPr>
              <w:jc w:val="center"/>
              <w:rPr>
                <w:lang w:eastAsia="uk-UA"/>
              </w:rPr>
            </w:pPr>
          </w:p>
        </w:tc>
      </w:tr>
      <w:tr w:rsidR="007E053E" w:rsidRPr="006F5A3B" w14:paraId="438CF250" w14:textId="77777777" w:rsidTr="009C1067">
        <w:trPr>
          <w:jc w:val="center"/>
        </w:trPr>
        <w:tc>
          <w:tcPr>
            <w:tcW w:w="1486" w:type="pct"/>
            <w:shd w:val="clear" w:color="auto" w:fill="auto"/>
            <w:hideMark/>
          </w:tcPr>
          <w:p w14:paraId="065218BD" w14:textId="77777777" w:rsidR="007E053E" w:rsidRPr="006F5A3B" w:rsidRDefault="007E053E" w:rsidP="007E053E">
            <w:pPr>
              <w:ind w:left="224"/>
              <w:rPr>
                <w:lang w:eastAsia="uk-UA"/>
              </w:rPr>
            </w:pPr>
            <w:r w:rsidRPr="006F5A3B">
              <w:rPr>
                <w:lang w:eastAsia="uk-UA"/>
              </w:rPr>
              <w:t>номінальний, млрд грн</w:t>
            </w:r>
          </w:p>
        </w:tc>
        <w:tc>
          <w:tcPr>
            <w:tcW w:w="459" w:type="pct"/>
            <w:shd w:val="clear" w:color="auto" w:fill="auto"/>
            <w:vAlign w:val="bottom"/>
            <w:hideMark/>
          </w:tcPr>
          <w:p w14:paraId="168BBE37"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5 191,0</w:t>
            </w:r>
          </w:p>
        </w:tc>
        <w:tc>
          <w:tcPr>
            <w:tcW w:w="791" w:type="pct"/>
            <w:shd w:val="clear" w:color="auto" w:fill="auto"/>
            <w:vAlign w:val="bottom"/>
          </w:tcPr>
          <w:p w14:paraId="0A0CF64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6 370,1</w:t>
            </w:r>
          </w:p>
        </w:tc>
        <w:tc>
          <w:tcPr>
            <w:tcW w:w="794" w:type="pct"/>
            <w:vAlign w:val="bottom"/>
          </w:tcPr>
          <w:p w14:paraId="2E50173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6 466,1</w:t>
            </w:r>
          </w:p>
        </w:tc>
        <w:tc>
          <w:tcPr>
            <w:tcW w:w="792" w:type="pct"/>
            <w:shd w:val="clear" w:color="auto" w:fill="auto"/>
            <w:vAlign w:val="bottom"/>
          </w:tcPr>
          <w:p w14:paraId="51989A7C"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7 824,8</w:t>
            </w:r>
          </w:p>
        </w:tc>
        <w:tc>
          <w:tcPr>
            <w:tcW w:w="679" w:type="pct"/>
            <w:vAlign w:val="bottom"/>
          </w:tcPr>
          <w:p w14:paraId="666B75A4"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7 643,0</w:t>
            </w:r>
          </w:p>
        </w:tc>
      </w:tr>
      <w:tr w:rsidR="007E053E" w:rsidRPr="006F5A3B" w14:paraId="68084B13" w14:textId="77777777" w:rsidTr="009C1067">
        <w:trPr>
          <w:jc w:val="center"/>
        </w:trPr>
        <w:tc>
          <w:tcPr>
            <w:tcW w:w="1486" w:type="pct"/>
            <w:shd w:val="clear" w:color="auto" w:fill="auto"/>
            <w:hideMark/>
          </w:tcPr>
          <w:p w14:paraId="1138C9D2" w14:textId="77777777" w:rsidR="007E053E" w:rsidRPr="006F5A3B" w:rsidRDefault="007E053E" w:rsidP="007E053E">
            <w:pPr>
              <w:ind w:left="224"/>
              <w:rPr>
                <w:lang w:eastAsia="uk-UA"/>
              </w:rPr>
            </w:pPr>
            <w:r w:rsidRPr="006F5A3B">
              <w:rPr>
                <w:lang w:eastAsia="uk-UA"/>
              </w:rPr>
              <w:t>реальна зміна, відсотків, р/р</w:t>
            </w:r>
          </w:p>
        </w:tc>
        <w:tc>
          <w:tcPr>
            <w:tcW w:w="459" w:type="pct"/>
            <w:shd w:val="clear" w:color="auto" w:fill="auto"/>
            <w:vAlign w:val="bottom"/>
            <w:hideMark/>
          </w:tcPr>
          <w:p w14:paraId="4AA3403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-29,1</w:t>
            </w:r>
          </w:p>
        </w:tc>
        <w:tc>
          <w:tcPr>
            <w:tcW w:w="791" w:type="pct"/>
            <w:shd w:val="clear" w:color="auto" w:fill="auto"/>
            <w:vAlign w:val="bottom"/>
          </w:tcPr>
          <w:p w14:paraId="73E2C63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2,8</w:t>
            </w:r>
          </w:p>
        </w:tc>
        <w:tc>
          <w:tcPr>
            <w:tcW w:w="794" w:type="pct"/>
            <w:vAlign w:val="bottom"/>
          </w:tcPr>
          <w:p w14:paraId="5DDBC03D"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5,0</w:t>
            </w:r>
          </w:p>
        </w:tc>
        <w:tc>
          <w:tcPr>
            <w:tcW w:w="792" w:type="pct"/>
            <w:shd w:val="clear" w:color="auto" w:fill="auto"/>
            <w:vAlign w:val="bottom"/>
          </w:tcPr>
          <w:p w14:paraId="526AD946"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5,0</w:t>
            </w:r>
          </w:p>
        </w:tc>
        <w:tc>
          <w:tcPr>
            <w:tcW w:w="679" w:type="pct"/>
            <w:vAlign w:val="bottom"/>
          </w:tcPr>
          <w:p w14:paraId="681E289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4,6</w:t>
            </w:r>
          </w:p>
        </w:tc>
      </w:tr>
      <w:tr w:rsidR="007E053E" w:rsidRPr="006F5A3B" w14:paraId="7393D7B9" w14:textId="77777777" w:rsidTr="009C1067">
        <w:trPr>
          <w:jc w:val="center"/>
        </w:trPr>
        <w:tc>
          <w:tcPr>
            <w:tcW w:w="1486" w:type="pct"/>
            <w:shd w:val="clear" w:color="auto" w:fill="auto"/>
            <w:hideMark/>
          </w:tcPr>
          <w:p w14:paraId="2134FB69" w14:textId="77777777" w:rsidR="007E053E" w:rsidRPr="006F5A3B" w:rsidRDefault="007E053E" w:rsidP="007E053E">
            <w:pPr>
              <w:rPr>
                <w:bCs/>
                <w:lang w:eastAsia="uk-UA"/>
              </w:rPr>
            </w:pPr>
            <w:r w:rsidRPr="006F5A3B">
              <w:rPr>
                <w:bCs/>
                <w:lang w:eastAsia="uk-UA"/>
              </w:rPr>
              <w:t>Індекс споживчих цін:</w:t>
            </w:r>
          </w:p>
        </w:tc>
        <w:tc>
          <w:tcPr>
            <w:tcW w:w="459" w:type="pct"/>
            <w:shd w:val="clear" w:color="auto" w:fill="auto"/>
            <w:vAlign w:val="bottom"/>
            <w:hideMark/>
          </w:tcPr>
          <w:p w14:paraId="089DA704" w14:textId="77777777" w:rsidR="007E053E" w:rsidRPr="006F5A3B" w:rsidRDefault="007E053E" w:rsidP="007E053E">
            <w:pPr>
              <w:autoSpaceDE w:val="0"/>
              <w:autoSpaceDN w:val="0"/>
              <w:adjustRightInd w:val="0"/>
              <w:jc w:val="center"/>
              <w:rPr>
                <w:rFonts w:eastAsia="Calibri"/>
                <w:lang w:eastAsia="en-US"/>
              </w:rPr>
            </w:pPr>
          </w:p>
        </w:tc>
        <w:tc>
          <w:tcPr>
            <w:tcW w:w="791" w:type="pct"/>
            <w:shd w:val="clear" w:color="auto" w:fill="auto"/>
            <w:vAlign w:val="bottom"/>
          </w:tcPr>
          <w:p w14:paraId="231CFCF3" w14:textId="77777777" w:rsidR="007E053E" w:rsidRPr="006F5A3B" w:rsidRDefault="007E053E" w:rsidP="007E053E">
            <w:pPr>
              <w:autoSpaceDE w:val="0"/>
              <w:autoSpaceDN w:val="0"/>
              <w:adjustRightInd w:val="0"/>
              <w:jc w:val="center"/>
              <w:rPr>
                <w:rFonts w:eastAsia="Calibri"/>
                <w:lang w:eastAsia="en-US"/>
              </w:rPr>
            </w:pPr>
          </w:p>
        </w:tc>
        <w:tc>
          <w:tcPr>
            <w:tcW w:w="794" w:type="pct"/>
            <w:vAlign w:val="bottom"/>
          </w:tcPr>
          <w:p w14:paraId="2A20CE78" w14:textId="77777777" w:rsidR="007E053E" w:rsidRPr="006F5A3B" w:rsidRDefault="007E053E" w:rsidP="007E053E">
            <w:pPr>
              <w:autoSpaceDE w:val="0"/>
              <w:autoSpaceDN w:val="0"/>
              <w:adjustRightInd w:val="0"/>
              <w:jc w:val="center"/>
              <w:rPr>
                <w:rFonts w:eastAsia="Calibri"/>
                <w:lang w:eastAsia="en-US"/>
              </w:rPr>
            </w:pPr>
          </w:p>
        </w:tc>
        <w:tc>
          <w:tcPr>
            <w:tcW w:w="792" w:type="pct"/>
            <w:shd w:val="clear" w:color="auto" w:fill="auto"/>
            <w:vAlign w:val="bottom"/>
          </w:tcPr>
          <w:p w14:paraId="479DA36A" w14:textId="77777777" w:rsidR="007E053E" w:rsidRPr="006F5A3B" w:rsidRDefault="007E053E" w:rsidP="007E053E">
            <w:pPr>
              <w:autoSpaceDE w:val="0"/>
              <w:autoSpaceDN w:val="0"/>
              <w:adjustRightInd w:val="0"/>
              <w:jc w:val="center"/>
              <w:rPr>
                <w:rFonts w:eastAsia="Calibri"/>
                <w:lang w:eastAsia="en-US"/>
              </w:rPr>
            </w:pPr>
          </w:p>
        </w:tc>
        <w:tc>
          <w:tcPr>
            <w:tcW w:w="679" w:type="pct"/>
            <w:vAlign w:val="bottom"/>
          </w:tcPr>
          <w:p w14:paraId="059300D6" w14:textId="77777777" w:rsidR="007E053E" w:rsidRPr="006F5A3B" w:rsidRDefault="007E053E" w:rsidP="007E053E">
            <w:pPr>
              <w:autoSpaceDE w:val="0"/>
              <w:autoSpaceDN w:val="0"/>
              <w:adjustRightInd w:val="0"/>
              <w:jc w:val="center"/>
              <w:rPr>
                <w:rFonts w:eastAsia="Calibri"/>
                <w:lang w:eastAsia="en-US"/>
              </w:rPr>
            </w:pPr>
          </w:p>
        </w:tc>
      </w:tr>
      <w:tr w:rsidR="007E053E" w:rsidRPr="006F5A3B" w14:paraId="3771BDEA" w14:textId="77777777" w:rsidTr="009C1067">
        <w:trPr>
          <w:jc w:val="center"/>
        </w:trPr>
        <w:tc>
          <w:tcPr>
            <w:tcW w:w="1486" w:type="pct"/>
            <w:shd w:val="clear" w:color="auto" w:fill="auto"/>
            <w:hideMark/>
          </w:tcPr>
          <w:p w14:paraId="09C7C713" w14:textId="77777777" w:rsidR="007E053E" w:rsidRPr="006F5A3B" w:rsidRDefault="007E053E" w:rsidP="007E053E">
            <w:pPr>
              <w:ind w:left="224"/>
              <w:rPr>
                <w:lang w:eastAsia="uk-UA"/>
              </w:rPr>
            </w:pPr>
            <w:r w:rsidRPr="006F5A3B">
              <w:rPr>
                <w:lang w:eastAsia="uk-UA"/>
              </w:rPr>
              <w:t>у середньому до попереднього року, відсотків, р/р</w:t>
            </w:r>
          </w:p>
        </w:tc>
        <w:tc>
          <w:tcPr>
            <w:tcW w:w="459" w:type="pct"/>
            <w:shd w:val="clear" w:color="auto" w:fill="auto"/>
            <w:vAlign w:val="bottom"/>
            <w:hideMark/>
          </w:tcPr>
          <w:p w14:paraId="502CE8E9"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120,2</w:t>
            </w:r>
          </w:p>
        </w:tc>
        <w:tc>
          <w:tcPr>
            <w:tcW w:w="791" w:type="pct"/>
            <w:shd w:val="clear" w:color="auto" w:fill="auto"/>
            <w:vAlign w:val="bottom"/>
          </w:tcPr>
          <w:p w14:paraId="65F017A5"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116,0</w:t>
            </w:r>
          </w:p>
        </w:tc>
        <w:tc>
          <w:tcPr>
            <w:tcW w:w="794" w:type="pct"/>
            <w:vAlign w:val="bottom"/>
          </w:tcPr>
          <w:p w14:paraId="46C80F7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113,3</w:t>
            </w:r>
          </w:p>
        </w:tc>
        <w:tc>
          <w:tcPr>
            <w:tcW w:w="792" w:type="pct"/>
            <w:shd w:val="clear" w:color="auto" w:fill="auto"/>
            <w:vAlign w:val="bottom"/>
          </w:tcPr>
          <w:p w14:paraId="040587F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113,8</w:t>
            </w:r>
          </w:p>
        </w:tc>
        <w:tc>
          <w:tcPr>
            <w:tcW w:w="679" w:type="pct"/>
            <w:vAlign w:val="bottom"/>
          </w:tcPr>
          <w:p w14:paraId="633D083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108,5</w:t>
            </w:r>
          </w:p>
        </w:tc>
      </w:tr>
      <w:tr w:rsidR="007E053E" w:rsidRPr="006F5A3B" w14:paraId="2E7FA98C" w14:textId="77777777" w:rsidTr="009C1067">
        <w:trPr>
          <w:jc w:val="center"/>
        </w:trPr>
        <w:tc>
          <w:tcPr>
            <w:tcW w:w="1486" w:type="pct"/>
            <w:shd w:val="clear" w:color="auto" w:fill="auto"/>
            <w:hideMark/>
          </w:tcPr>
          <w:p w14:paraId="218F84DD" w14:textId="77777777" w:rsidR="007E053E" w:rsidRPr="006F5A3B" w:rsidRDefault="007E053E" w:rsidP="007E053E">
            <w:pPr>
              <w:ind w:left="224"/>
              <w:rPr>
                <w:lang w:eastAsia="uk-UA"/>
              </w:rPr>
            </w:pPr>
            <w:r w:rsidRPr="006F5A3B">
              <w:rPr>
                <w:lang w:eastAsia="uk-UA"/>
              </w:rPr>
              <w:t>грудень до грудня попереднього року, відсотків, р/р</w:t>
            </w:r>
          </w:p>
        </w:tc>
        <w:tc>
          <w:tcPr>
            <w:tcW w:w="459" w:type="pct"/>
            <w:shd w:val="clear" w:color="auto" w:fill="auto"/>
            <w:vAlign w:val="bottom"/>
            <w:hideMark/>
          </w:tcPr>
          <w:p w14:paraId="19E8D75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126,6</w:t>
            </w:r>
          </w:p>
        </w:tc>
        <w:tc>
          <w:tcPr>
            <w:tcW w:w="791" w:type="pct"/>
            <w:shd w:val="clear" w:color="auto" w:fill="auto"/>
            <w:vAlign w:val="bottom"/>
          </w:tcPr>
          <w:p w14:paraId="149B1D20"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114,7</w:t>
            </w:r>
          </w:p>
        </w:tc>
        <w:tc>
          <w:tcPr>
            <w:tcW w:w="794" w:type="pct"/>
            <w:vAlign w:val="bottom"/>
          </w:tcPr>
          <w:p w14:paraId="1DB8FE4A"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107,1</w:t>
            </w:r>
          </w:p>
        </w:tc>
        <w:tc>
          <w:tcPr>
            <w:tcW w:w="792" w:type="pct"/>
            <w:shd w:val="clear" w:color="auto" w:fill="auto"/>
            <w:vAlign w:val="bottom"/>
          </w:tcPr>
          <w:p w14:paraId="5D00100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110,8</w:t>
            </w:r>
          </w:p>
        </w:tc>
        <w:tc>
          <w:tcPr>
            <w:tcW w:w="679" w:type="pct"/>
            <w:vAlign w:val="bottom"/>
          </w:tcPr>
          <w:p w14:paraId="6674EB9C"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109,7</w:t>
            </w:r>
          </w:p>
        </w:tc>
      </w:tr>
      <w:tr w:rsidR="007E053E" w:rsidRPr="006F5A3B" w14:paraId="0D029712" w14:textId="77777777" w:rsidTr="009C1067">
        <w:trPr>
          <w:jc w:val="center"/>
        </w:trPr>
        <w:tc>
          <w:tcPr>
            <w:tcW w:w="1486" w:type="pct"/>
            <w:shd w:val="clear" w:color="auto" w:fill="auto"/>
            <w:hideMark/>
          </w:tcPr>
          <w:p w14:paraId="72982C95" w14:textId="77777777" w:rsidR="007E053E" w:rsidRPr="006F5A3B" w:rsidRDefault="007E053E" w:rsidP="007E053E">
            <w:pPr>
              <w:rPr>
                <w:bCs/>
                <w:lang w:eastAsia="uk-UA"/>
              </w:rPr>
            </w:pPr>
            <w:r w:rsidRPr="006F5A3B">
              <w:rPr>
                <w:bCs/>
                <w:lang w:eastAsia="uk-UA"/>
              </w:rPr>
              <w:t>Індекс цін виробників промислової продукції:</w:t>
            </w:r>
          </w:p>
        </w:tc>
        <w:tc>
          <w:tcPr>
            <w:tcW w:w="459" w:type="pct"/>
            <w:shd w:val="clear" w:color="auto" w:fill="auto"/>
            <w:vAlign w:val="bottom"/>
            <w:hideMark/>
          </w:tcPr>
          <w:p w14:paraId="52F35055" w14:textId="77777777" w:rsidR="007E053E" w:rsidRPr="006F5A3B" w:rsidRDefault="007E053E" w:rsidP="007E053E">
            <w:pPr>
              <w:autoSpaceDE w:val="0"/>
              <w:autoSpaceDN w:val="0"/>
              <w:adjustRightInd w:val="0"/>
              <w:jc w:val="center"/>
              <w:rPr>
                <w:rFonts w:eastAsia="Calibri"/>
                <w:lang w:eastAsia="en-US"/>
              </w:rPr>
            </w:pPr>
          </w:p>
        </w:tc>
        <w:tc>
          <w:tcPr>
            <w:tcW w:w="791" w:type="pct"/>
            <w:shd w:val="clear" w:color="auto" w:fill="auto"/>
            <w:vAlign w:val="bottom"/>
          </w:tcPr>
          <w:p w14:paraId="5B5D9EA0" w14:textId="77777777" w:rsidR="007E053E" w:rsidRPr="006F5A3B" w:rsidRDefault="007E053E" w:rsidP="007E053E">
            <w:pPr>
              <w:autoSpaceDE w:val="0"/>
              <w:autoSpaceDN w:val="0"/>
              <w:adjustRightInd w:val="0"/>
              <w:jc w:val="center"/>
              <w:rPr>
                <w:rFonts w:eastAsia="Calibri"/>
                <w:lang w:eastAsia="en-US"/>
              </w:rPr>
            </w:pPr>
          </w:p>
        </w:tc>
        <w:tc>
          <w:tcPr>
            <w:tcW w:w="794" w:type="pct"/>
            <w:vAlign w:val="bottom"/>
          </w:tcPr>
          <w:p w14:paraId="319B407C" w14:textId="77777777" w:rsidR="007E053E" w:rsidRPr="006F5A3B" w:rsidRDefault="007E053E" w:rsidP="007E053E">
            <w:pPr>
              <w:autoSpaceDE w:val="0"/>
              <w:autoSpaceDN w:val="0"/>
              <w:adjustRightInd w:val="0"/>
              <w:jc w:val="center"/>
              <w:rPr>
                <w:rFonts w:eastAsia="Calibri"/>
                <w:lang w:eastAsia="en-US"/>
              </w:rPr>
            </w:pPr>
          </w:p>
        </w:tc>
        <w:tc>
          <w:tcPr>
            <w:tcW w:w="792" w:type="pct"/>
            <w:shd w:val="clear" w:color="auto" w:fill="auto"/>
            <w:vAlign w:val="bottom"/>
          </w:tcPr>
          <w:p w14:paraId="2C059F27" w14:textId="77777777" w:rsidR="007E053E" w:rsidRPr="006F5A3B" w:rsidRDefault="007E053E" w:rsidP="007E053E">
            <w:pPr>
              <w:autoSpaceDE w:val="0"/>
              <w:autoSpaceDN w:val="0"/>
              <w:adjustRightInd w:val="0"/>
              <w:jc w:val="center"/>
              <w:rPr>
                <w:rFonts w:eastAsia="Calibri"/>
                <w:lang w:eastAsia="en-US"/>
              </w:rPr>
            </w:pPr>
          </w:p>
        </w:tc>
        <w:tc>
          <w:tcPr>
            <w:tcW w:w="679" w:type="pct"/>
            <w:vAlign w:val="bottom"/>
          </w:tcPr>
          <w:p w14:paraId="6EB7674B" w14:textId="77777777" w:rsidR="007E053E" w:rsidRPr="006F5A3B" w:rsidRDefault="007E053E" w:rsidP="007E053E">
            <w:pPr>
              <w:autoSpaceDE w:val="0"/>
              <w:autoSpaceDN w:val="0"/>
              <w:adjustRightInd w:val="0"/>
              <w:jc w:val="center"/>
              <w:rPr>
                <w:rFonts w:eastAsia="Calibri"/>
                <w:lang w:eastAsia="en-US"/>
              </w:rPr>
            </w:pPr>
          </w:p>
        </w:tc>
      </w:tr>
      <w:tr w:rsidR="007E053E" w:rsidRPr="006F5A3B" w14:paraId="0B52F0FF" w14:textId="77777777" w:rsidTr="009C1067">
        <w:trPr>
          <w:jc w:val="center"/>
        </w:trPr>
        <w:tc>
          <w:tcPr>
            <w:tcW w:w="1486" w:type="pct"/>
            <w:shd w:val="clear" w:color="auto" w:fill="auto"/>
            <w:hideMark/>
          </w:tcPr>
          <w:p w14:paraId="376A3387" w14:textId="77777777" w:rsidR="007E053E" w:rsidRPr="006F5A3B" w:rsidRDefault="007E053E" w:rsidP="007E053E">
            <w:pPr>
              <w:ind w:left="224"/>
              <w:rPr>
                <w:lang w:eastAsia="uk-UA"/>
              </w:rPr>
            </w:pPr>
            <w:r w:rsidRPr="006F5A3B">
              <w:rPr>
                <w:lang w:eastAsia="uk-UA"/>
              </w:rPr>
              <w:t>грудень до грудня попереднього року, відсотків, р/р</w:t>
            </w:r>
          </w:p>
        </w:tc>
        <w:tc>
          <w:tcPr>
            <w:tcW w:w="459" w:type="pct"/>
            <w:shd w:val="clear" w:color="auto" w:fill="auto"/>
            <w:vAlign w:val="bottom"/>
            <w:hideMark/>
          </w:tcPr>
          <w:p w14:paraId="00479F6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138,2*</w:t>
            </w:r>
          </w:p>
        </w:tc>
        <w:tc>
          <w:tcPr>
            <w:tcW w:w="791" w:type="pct"/>
            <w:shd w:val="clear" w:color="auto" w:fill="auto"/>
            <w:vAlign w:val="bottom"/>
          </w:tcPr>
          <w:p w14:paraId="56BB18B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119,4</w:t>
            </w:r>
          </w:p>
        </w:tc>
        <w:tc>
          <w:tcPr>
            <w:tcW w:w="794" w:type="pct"/>
            <w:vAlign w:val="bottom"/>
          </w:tcPr>
          <w:p w14:paraId="62AF3C2E"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117,5</w:t>
            </w:r>
          </w:p>
        </w:tc>
        <w:tc>
          <w:tcPr>
            <w:tcW w:w="792" w:type="pct"/>
            <w:shd w:val="clear" w:color="auto" w:fill="auto"/>
            <w:vAlign w:val="bottom"/>
          </w:tcPr>
          <w:p w14:paraId="77A49EED"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112,5</w:t>
            </w:r>
          </w:p>
        </w:tc>
        <w:tc>
          <w:tcPr>
            <w:tcW w:w="679" w:type="pct"/>
            <w:vAlign w:val="bottom"/>
          </w:tcPr>
          <w:p w14:paraId="0171F1B9"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111,4</w:t>
            </w:r>
          </w:p>
        </w:tc>
      </w:tr>
      <w:tr w:rsidR="007E053E" w:rsidRPr="006F5A3B" w14:paraId="65DC44B7" w14:textId="77777777" w:rsidTr="009C1067">
        <w:trPr>
          <w:jc w:val="center"/>
        </w:trPr>
        <w:tc>
          <w:tcPr>
            <w:tcW w:w="1486" w:type="pct"/>
            <w:shd w:val="clear" w:color="auto" w:fill="auto"/>
          </w:tcPr>
          <w:p w14:paraId="07F40F41" w14:textId="77777777" w:rsidR="007E053E" w:rsidRPr="006F5A3B" w:rsidRDefault="007E053E" w:rsidP="007E053E">
            <w:pPr>
              <w:rPr>
                <w:lang w:eastAsia="uk-UA"/>
              </w:rPr>
            </w:pPr>
            <w:r w:rsidRPr="006F5A3B">
              <w:rPr>
                <w:bCs/>
                <w:lang w:eastAsia="uk-UA"/>
              </w:rPr>
              <w:t>Середньомісячна заробітна плата працівників</w:t>
            </w:r>
            <w:r w:rsidRPr="006F5A3B">
              <w:rPr>
                <w:lang w:eastAsia="uk-UA"/>
              </w:rPr>
              <w:t>, брутто, номінальна, грн</w:t>
            </w:r>
          </w:p>
        </w:tc>
        <w:tc>
          <w:tcPr>
            <w:tcW w:w="459" w:type="pct"/>
            <w:shd w:val="clear" w:color="auto" w:fill="auto"/>
            <w:vAlign w:val="bottom"/>
          </w:tcPr>
          <w:p w14:paraId="38F9DA76"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14 847</w:t>
            </w:r>
          </w:p>
        </w:tc>
        <w:tc>
          <w:tcPr>
            <w:tcW w:w="791" w:type="pct"/>
            <w:shd w:val="clear" w:color="auto" w:fill="auto"/>
            <w:vAlign w:val="bottom"/>
          </w:tcPr>
          <w:p w14:paraId="643EB8A5"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18 118</w:t>
            </w:r>
          </w:p>
        </w:tc>
        <w:tc>
          <w:tcPr>
            <w:tcW w:w="794" w:type="pct"/>
            <w:vAlign w:val="bottom"/>
          </w:tcPr>
          <w:p w14:paraId="553E76F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18 527</w:t>
            </w:r>
          </w:p>
        </w:tc>
        <w:tc>
          <w:tcPr>
            <w:tcW w:w="792" w:type="pct"/>
            <w:shd w:val="clear" w:color="auto" w:fill="auto"/>
            <w:vAlign w:val="bottom"/>
          </w:tcPr>
          <w:p w14:paraId="5865F60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21 852</w:t>
            </w:r>
          </w:p>
        </w:tc>
        <w:tc>
          <w:tcPr>
            <w:tcW w:w="679" w:type="pct"/>
            <w:vAlign w:val="bottom"/>
          </w:tcPr>
          <w:p w14:paraId="5A9D769D"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21 809</w:t>
            </w:r>
          </w:p>
        </w:tc>
      </w:tr>
      <w:tr w:rsidR="007E053E" w:rsidRPr="006F5A3B" w14:paraId="5B2F25C8" w14:textId="77777777" w:rsidTr="009C1067">
        <w:trPr>
          <w:jc w:val="center"/>
        </w:trPr>
        <w:tc>
          <w:tcPr>
            <w:tcW w:w="1486" w:type="pct"/>
            <w:shd w:val="clear" w:color="auto" w:fill="auto"/>
            <w:hideMark/>
          </w:tcPr>
          <w:p w14:paraId="4E451EF5" w14:textId="77777777" w:rsidR="007E053E" w:rsidRPr="006F5A3B" w:rsidRDefault="007E053E" w:rsidP="007E053E">
            <w:pPr>
              <w:ind w:left="224"/>
              <w:rPr>
                <w:lang w:eastAsia="uk-UA"/>
              </w:rPr>
            </w:pPr>
            <w:r w:rsidRPr="006F5A3B">
              <w:rPr>
                <w:lang w:eastAsia="uk-UA"/>
              </w:rPr>
              <w:t>номінальна, скоригована на індекс споживчих цін, зміна, відсотків, р/р</w:t>
            </w:r>
          </w:p>
        </w:tc>
        <w:tc>
          <w:tcPr>
            <w:tcW w:w="459" w:type="pct"/>
            <w:shd w:val="clear" w:color="auto" w:fill="auto"/>
            <w:vAlign w:val="bottom"/>
            <w:hideMark/>
          </w:tcPr>
          <w:p w14:paraId="4CC18E3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-11,9*</w:t>
            </w:r>
          </w:p>
        </w:tc>
        <w:tc>
          <w:tcPr>
            <w:tcW w:w="791" w:type="pct"/>
            <w:shd w:val="clear" w:color="auto" w:fill="auto"/>
            <w:vAlign w:val="bottom"/>
          </w:tcPr>
          <w:p w14:paraId="3879E5C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5,2</w:t>
            </w:r>
          </w:p>
        </w:tc>
        <w:tc>
          <w:tcPr>
            <w:tcW w:w="794" w:type="pct"/>
            <w:vAlign w:val="bottom"/>
          </w:tcPr>
          <w:p w14:paraId="3771625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10,1</w:t>
            </w:r>
          </w:p>
        </w:tc>
        <w:tc>
          <w:tcPr>
            <w:tcW w:w="792" w:type="pct"/>
            <w:shd w:val="clear" w:color="auto" w:fill="auto"/>
            <w:vAlign w:val="bottom"/>
          </w:tcPr>
          <w:p w14:paraId="13D70D16"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6,0</w:t>
            </w:r>
          </w:p>
        </w:tc>
        <w:tc>
          <w:tcPr>
            <w:tcW w:w="679" w:type="pct"/>
            <w:vAlign w:val="bottom"/>
          </w:tcPr>
          <w:p w14:paraId="3C1DB82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8,5</w:t>
            </w:r>
          </w:p>
        </w:tc>
      </w:tr>
      <w:tr w:rsidR="007E053E" w:rsidRPr="006F5A3B" w14:paraId="18A570B4" w14:textId="77777777" w:rsidTr="009C1067">
        <w:trPr>
          <w:jc w:val="center"/>
        </w:trPr>
        <w:tc>
          <w:tcPr>
            <w:tcW w:w="1486" w:type="pct"/>
            <w:shd w:val="clear" w:color="auto" w:fill="auto"/>
            <w:hideMark/>
          </w:tcPr>
          <w:p w14:paraId="3AC95388" w14:textId="77777777" w:rsidR="007E053E" w:rsidRPr="006F5A3B" w:rsidRDefault="007E053E" w:rsidP="007E053E">
            <w:pPr>
              <w:rPr>
                <w:lang w:eastAsia="uk-UA"/>
              </w:rPr>
            </w:pPr>
            <w:r w:rsidRPr="006F5A3B">
              <w:rPr>
                <w:bCs/>
                <w:lang w:eastAsia="uk-UA"/>
              </w:rPr>
              <w:t>Сальдо торговельного балансу</w:t>
            </w:r>
            <w:r w:rsidRPr="006F5A3B">
              <w:rPr>
                <w:lang w:eastAsia="uk-UA"/>
              </w:rPr>
              <w:t xml:space="preserve">, визначене за методологією платіжного </w:t>
            </w:r>
            <w:r w:rsidRPr="006F5A3B">
              <w:rPr>
                <w:lang w:eastAsia="uk-UA"/>
              </w:rPr>
              <w:lastRenderedPageBreak/>
              <w:t xml:space="preserve">балансу, </w:t>
            </w:r>
            <w:r w:rsidRPr="006F5A3B">
              <w:rPr>
                <w:lang w:eastAsia="uk-UA"/>
              </w:rPr>
              <w:br/>
              <w:t>млн доларів США</w:t>
            </w:r>
          </w:p>
        </w:tc>
        <w:tc>
          <w:tcPr>
            <w:tcW w:w="459" w:type="pct"/>
            <w:shd w:val="clear" w:color="auto" w:fill="auto"/>
            <w:vAlign w:val="bottom"/>
            <w:hideMark/>
          </w:tcPr>
          <w:p w14:paraId="5896552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lastRenderedPageBreak/>
              <w:t>-25 737</w:t>
            </w:r>
          </w:p>
        </w:tc>
        <w:tc>
          <w:tcPr>
            <w:tcW w:w="791" w:type="pct"/>
            <w:shd w:val="clear" w:color="auto" w:fill="auto"/>
            <w:vAlign w:val="bottom"/>
          </w:tcPr>
          <w:p w14:paraId="1A4CD331"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-34 130</w:t>
            </w:r>
          </w:p>
        </w:tc>
        <w:tc>
          <w:tcPr>
            <w:tcW w:w="794" w:type="pct"/>
            <w:vAlign w:val="bottom"/>
          </w:tcPr>
          <w:p w14:paraId="104ED07A"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-39 449</w:t>
            </w:r>
          </w:p>
        </w:tc>
        <w:tc>
          <w:tcPr>
            <w:tcW w:w="792" w:type="pct"/>
            <w:shd w:val="clear" w:color="auto" w:fill="auto"/>
            <w:vAlign w:val="bottom"/>
          </w:tcPr>
          <w:p w14:paraId="3AA08B59"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-24 821</w:t>
            </w:r>
          </w:p>
        </w:tc>
        <w:tc>
          <w:tcPr>
            <w:tcW w:w="679" w:type="pct"/>
            <w:vAlign w:val="bottom"/>
          </w:tcPr>
          <w:p w14:paraId="3C0EA38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-40 172</w:t>
            </w:r>
          </w:p>
        </w:tc>
      </w:tr>
      <w:tr w:rsidR="007E053E" w:rsidRPr="006F5A3B" w14:paraId="1120EC70" w14:textId="77777777" w:rsidTr="009C1067">
        <w:trPr>
          <w:jc w:val="center"/>
        </w:trPr>
        <w:tc>
          <w:tcPr>
            <w:tcW w:w="1486" w:type="pct"/>
            <w:shd w:val="clear" w:color="auto" w:fill="auto"/>
            <w:hideMark/>
          </w:tcPr>
          <w:p w14:paraId="1DE1755F" w14:textId="77777777" w:rsidR="007E053E" w:rsidRPr="006F5A3B" w:rsidRDefault="007E053E" w:rsidP="007E053E">
            <w:pPr>
              <w:rPr>
                <w:bCs/>
                <w:lang w:eastAsia="uk-UA"/>
              </w:rPr>
            </w:pPr>
            <w:r w:rsidRPr="006F5A3B">
              <w:rPr>
                <w:bCs/>
                <w:lang w:eastAsia="uk-UA"/>
              </w:rPr>
              <w:t>Експорт товарів та послуг:</w:t>
            </w:r>
          </w:p>
        </w:tc>
        <w:tc>
          <w:tcPr>
            <w:tcW w:w="459" w:type="pct"/>
            <w:shd w:val="clear" w:color="auto" w:fill="auto"/>
            <w:vAlign w:val="bottom"/>
            <w:hideMark/>
          </w:tcPr>
          <w:p w14:paraId="6D607807" w14:textId="77777777" w:rsidR="007E053E" w:rsidRPr="006F5A3B" w:rsidRDefault="007E053E" w:rsidP="007E053E">
            <w:pPr>
              <w:autoSpaceDE w:val="0"/>
              <w:autoSpaceDN w:val="0"/>
              <w:adjustRightInd w:val="0"/>
              <w:jc w:val="center"/>
              <w:rPr>
                <w:rFonts w:eastAsia="Calibri"/>
                <w:lang w:eastAsia="en-US"/>
              </w:rPr>
            </w:pPr>
          </w:p>
        </w:tc>
        <w:tc>
          <w:tcPr>
            <w:tcW w:w="791" w:type="pct"/>
            <w:shd w:val="clear" w:color="auto" w:fill="auto"/>
            <w:vAlign w:val="bottom"/>
          </w:tcPr>
          <w:p w14:paraId="28E99F6D" w14:textId="77777777" w:rsidR="007E053E" w:rsidRPr="006F5A3B" w:rsidRDefault="007E053E" w:rsidP="007E053E">
            <w:pPr>
              <w:autoSpaceDE w:val="0"/>
              <w:autoSpaceDN w:val="0"/>
              <w:adjustRightInd w:val="0"/>
              <w:jc w:val="center"/>
              <w:rPr>
                <w:rFonts w:eastAsia="Calibri"/>
                <w:lang w:eastAsia="en-US"/>
              </w:rPr>
            </w:pPr>
          </w:p>
        </w:tc>
        <w:tc>
          <w:tcPr>
            <w:tcW w:w="794" w:type="pct"/>
            <w:vAlign w:val="bottom"/>
          </w:tcPr>
          <w:p w14:paraId="2595EE3E" w14:textId="77777777" w:rsidR="007E053E" w:rsidRPr="006F5A3B" w:rsidRDefault="007E053E" w:rsidP="007E053E">
            <w:pPr>
              <w:autoSpaceDE w:val="0"/>
              <w:autoSpaceDN w:val="0"/>
              <w:adjustRightInd w:val="0"/>
              <w:jc w:val="center"/>
              <w:rPr>
                <w:rFonts w:eastAsia="Calibri"/>
                <w:lang w:eastAsia="en-US"/>
              </w:rPr>
            </w:pPr>
          </w:p>
        </w:tc>
        <w:tc>
          <w:tcPr>
            <w:tcW w:w="792" w:type="pct"/>
            <w:shd w:val="clear" w:color="auto" w:fill="auto"/>
            <w:vAlign w:val="bottom"/>
          </w:tcPr>
          <w:p w14:paraId="03E18B9B" w14:textId="77777777" w:rsidR="007E053E" w:rsidRPr="006F5A3B" w:rsidRDefault="007E053E" w:rsidP="007E053E">
            <w:pPr>
              <w:autoSpaceDE w:val="0"/>
              <w:autoSpaceDN w:val="0"/>
              <w:adjustRightInd w:val="0"/>
              <w:jc w:val="center"/>
              <w:rPr>
                <w:rFonts w:eastAsia="Calibri"/>
                <w:lang w:eastAsia="en-US"/>
              </w:rPr>
            </w:pPr>
          </w:p>
        </w:tc>
        <w:tc>
          <w:tcPr>
            <w:tcW w:w="679" w:type="pct"/>
            <w:vAlign w:val="bottom"/>
          </w:tcPr>
          <w:p w14:paraId="7EB56CEE" w14:textId="77777777" w:rsidR="007E053E" w:rsidRPr="006F5A3B" w:rsidRDefault="007E053E" w:rsidP="007E053E">
            <w:pPr>
              <w:autoSpaceDE w:val="0"/>
              <w:autoSpaceDN w:val="0"/>
              <w:adjustRightInd w:val="0"/>
              <w:jc w:val="center"/>
              <w:rPr>
                <w:rFonts w:eastAsia="Calibri"/>
                <w:lang w:eastAsia="en-US"/>
              </w:rPr>
            </w:pPr>
          </w:p>
        </w:tc>
      </w:tr>
      <w:tr w:rsidR="007E053E" w:rsidRPr="006F5A3B" w14:paraId="0B8B724E" w14:textId="77777777" w:rsidTr="009C1067">
        <w:trPr>
          <w:jc w:val="center"/>
        </w:trPr>
        <w:tc>
          <w:tcPr>
            <w:tcW w:w="1486" w:type="pct"/>
            <w:shd w:val="clear" w:color="auto" w:fill="auto"/>
            <w:hideMark/>
          </w:tcPr>
          <w:p w14:paraId="371B2F79" w14:textId="77777777" w:rsidR="007E053E" w:rsidRPr="006F5A3B" w:rsidRDefault="007E053E" w:rsidP="007E053E">
            <w:pPr>
              <w:ind w:left="224"/>
              <w:rPr>
                <w:lang w:eastAsia="uk-UA"/>
              </w:rPr>
            </w:pPr>
            <w:r w:rsidRPr="006F5A3B">
              <w:rPr>
                <w:lang w:eastAsia="uk-UA"/>
              </w:rPr>
              <w:t>млн доларів США</w:t>
            </w:r>
          </w:p>
        </w:tc>
        <w:tc>
          <w:tcPr>
            <w:tcW w:w="459" w:type="pct"/>
            <w:shd w:val="clear" w:color="auto" w:fill="auto"/>
            <w:vAlign w:val="bottom"/>
            <w:hideMark/>
          </w:tcPr>
          <w:p w14:paraId="28F903E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57 517</w:t>
            </w:r>
          </w:p>
        </w:tc>
        <w:tc>
          <w:tcPr>
            <w:tcW w:w="791" w:type="pct"/>
            <w:shd w:val="clear" w:color="auto" w:fill="auto"/>
            <w:vAlign w:val="bottom"/>
          </w:tcPr>
          <w:p w14:paraId="7418AC8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57 585</w:t>
            </w:r>
          </w:p>
        </w:tc>
        <w:tc>
          <w:tcPr>
            <w:tcW w:w="794" w:type="pct"/>
            <w:vAlign w:val="bottom"/>
          </w:tcPr>
          <w:p w14:paraId="719FCCE6"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51 615</w:t>
            </w:r>
          </w:p>
        </w:tc>
        <w:tc>
          <w:tcPr>
            <w:tcW w:w="792" w:type="pct"/>
            <w:shd w:val="clear" w:color="auto" w:fill="auto"/>
            <w:vAlign w:val="bottom"/>
          </w:tcPr>
          <w:p w14:paraId="1A847830"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61 880</w:t>
            </w:r>
          </w:p>
        </w:tc>
        <w:tc>
          <w:tcPr>
            <w:tcW w:w="679" w:type="pct"/>
            <w:vAlign w:val="bottom"/>
          </w:tcPr>
          <w:p w14:paraId="67037AD0"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56 272</w:t>
            </w:r>
          </w:p>
        </w:tc>
      </w:tr>
      <w:tr w:rsidR="007E053E" w:rsidRPr="006F5A3B" w14:paraId="41D2A140" w14:textId="77777777" w:rsidTr="009C1067">
        <w:trPr>
          <w:jc w:val="center"/>
        </w:trPr>
        <w:tc>
          <w:tcPr>
            <w:tcW w:w="1486" w:type="pct"/>
            <w:shd w:val="clear" w:color="auto" w:fill="auto"/>
            <w:hideMark/>
          </w:tcPr>
          <w:p w14:paraId="7FACCDA9" w14:textId="77777777" w:rsidR="007E053E" w:rsidRPr="006F5A3B" w:rsidRDefault="007E053E" w:rsidP="007E053E">
            <w:pPr>
              <w:ind w:left="224"/>
              <w:rPr>
                <w:lang w:eastAsia="uk-UA"/>
              </w:rPr>
            </w:pPr>
            <w:r w:rsidRPr="006F5A3B">
              <w:rPr>
                <w:lang w:eastAsia="uk-UA"/>
              </w:rPr>
              <w:t>зміна, відсотків, р/р</w:t>
            </w:r>
          </w:p>
        </w:tc>
        <w:tc>
          <w:tcPr>
            <w:tcW w:w="459" w:type="pct"/>
            <w:shd w:val="clear" w:color="auto" w:fill="auto"/>
            <w:vAlign w:val="bottom"/>
            <w:hideMark/>
          </w:tcPr>
          <w:p w14:paraId="235AB67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-29,4</w:t>
            </w:r>
          </w:p>
        </w:tc>
        <w:tc>
          <w:tcPr>
            <w:tcW w:w="791" w:type="pct"/>
            <w:shd w:val="clear" w:color="auto" w:fill="auto"/>
            <w:vAlign w:val="bottom"/>
          </w:tcPr>
          <w:p w14:paraId="6A17E167"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w:t>
            </w:r>
          </w:p>
        </w:tc>
        <w:tc>
          <w:tcPr>
            <w:tcW w:w="794" w:type="pct"/>
            <w:vAlign w:val="bottom"/>
          </w:tcPr>
          <w:p w14:paraId="312F204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-10,3</w:t>
            </w:r>
          </w:p>
        </w:tc>
        <w:tc>
          <w:tcPr>
            <w:tcW w:w="792" w:type="pct"/>
            <w:shd w:val="clear" w:color="auto" w:fill="auto"/>
            <w:vAlign w:val="bottom"/>
          </w:tcPr>
          <w:p w14:paraId="77F556C5"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7,5</w:t>
            </w:r>
          </w:p>
        </w:tc>
        <w:tc>
          <w:tcPr>
            <w:tcW w:w="679" w:type="pct"/>
            <w:vAlign w:val="bottom"/>
          </w:tcPr>
          <w:p w14:paraId="1A0EB8C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9,0</w:t>
            </w:r>
          </w:p>
        </w:tc>
      </w:tr>
      <w:tr w:rsidR="007E053E" w:rsidRPr="006F5A3B" w14:paraId="33A7270A" w14:textId="77777777" w:rsidTr="009C1067">
        <w:trPr>
          <w:jc w:val="center"/>
        </w:trPr>
        <w:tc>
          <w:tcPr>
            <w:tcW w:w="1486" w:type="pct"/>
            <w:shd w:val="clear" w:color="auto" w:fill="auto"/>
            <w:hideMark/>
          </w:tcPr>
          <w:p w14:paraId="4880E59F" w14:textId="77777777" w:rsidR="007E053E" w:rsidRPr="006F5A3B" w:rsidRDefault="007E053E" w:rsidP="007E053E">
            <w:pPr>
              <w:rPr>
                <w:bCs/>
                <w:lang w:eastAsia="uk-UA"/>
              </w:rPr>
            </w:pPr>
            <w:r w:rsidRPr="006F5A3B">
              <w:rPr>
                <w:bCs/>
                <w:lang w:eastAsia="uk-UA"/>
              </w:rPr>
              <w:t>Імпорт товарів та послуг:</w:t>
            </w:r>
          </w:p>
        </w:tc>
        <w:tc>
          <w:tcPr>
            <w:tcW w:w="459" w:type="pct"/>
            <w:shd w:val="clear" w:color="auto" w:fill="auto"/>
            <w:vAlign w:val="bottom"/>
            <w:hideMark/>
          </w:tcPr>
          <w:p w14:paraId="13F5E8A5" w14:textId="77777777" w:rsidR="007E053E" w:rsidRPr="006F5A3B" w:rsidRDefault="007E053E" w:rsidP="007E053E">
            <w:pPr>
              <w:autoSpaceDE w:val="0"/>
              <w:autoSpaceDN w:val="0"/>
              <w:adjustRightInd w:val="0"/>
              <w:jc w:val="center"/>
              <w:rPr>
                <w:rFonts w:eastAsia="Calibri"/>
                <w:lang w:eastAsia="en-US"/>
              </w:rPr>
            </w:pPr>
          </w:p>
        </w:tc>
        <w:tc>
          <w:tcPr>
            <w:tcW w:w="791" w:type="pct"/>
            <w:shd w:val="clear" w:color="auto" w:fill="auto"/>
            <w:vAlign w:val="bottom"/>
          </w:tcPr>
          <w:p w14:paraId="5BEABA49" w14:textId="77777777" w:rsidR="007E053E" w:rsidRPr="006F5A3B" w:rsidRDefault="007E053E" w:rsidP="007E053E">
            <w:pPr>
              <w:autoSpaceDE w:val="0"/>
              <w:autoSpaceDN w:val="0"/>
              <w:adjustRightInd w:val="0"/>
              <w:jc w:val="center"/>
              <w:rPr>
                <w:rFonts w:eastAsia="Calibri"/>
                <w:lang w:eastAsia="en-US"/>
              </w:rPr>
            </w:pPr>
          </w:p>
        </w:tc>
        <w:tc>
          <w:tcPr>
            <w:tcW w:w="794" w:type="pct"/>
            <w:vAlign w:val="bottom"/>
          </w:tcPr>
          <w:p w14:paraId="56F97323" w14:textId="77777777" w:rsidR="007E053E" w:rsidRPr="006F5A3B" w:rsidRDefault="007E053E" w:rsidP="007E053E">
            <w:pPr>
              <w:autoSpaceDE w:val="0"/>
              <w:autoSpaceDN w:val="0"/>
              <w:adjustRightInd w:val="0"/>
              <w:jc w:val="center"/>
              <w:rPr>
                <w:rFonts w:eastAsia="Calibri"/>
                <w:lang w:eastAsia="en-US"/>
              </w:rPr>
            </w:pPr>
          </w:p>
        </w:tc>
        <w:tc>
          <w:tcPr>
            <w:tcW w:w="792" w:type="pct"/>
            <w:shd w:val="clear" w:color="auto" w:fill="auto"/>
            <w:vAlign w:val="bottom"/>
          </w:tcPr>
          <w:p w14:paraId="3AC2DFC7" w14:textId="77777777" w:rsidR="007E053E" w:rsidRPr="006F5A3B" w:rsidRDefault="007E053E" w:rsidP="007E053E">
            <w:pPr>
              <w:autoSpaceDE w:val="0"/>
              <w:autoSpaceDN w:val="0"/>
              <w:adjustRightInd w:val="0"/>
              <w:jc w:val="center"/>
              <w:rPr>
                <w:rFonts w:eastAsia="Calibri"/>
                <w:lang w:eastAsia="en-US"/>
              </w:rPr>
            </w:pPr>
          </w:p>
        </w:tc>
        <w:tc>
          <w:tcPr>
            <w:tcW w:w="679" w:type="pct"/>
            <w:vAlign w:val="bottom"/>
          </w:tcPr>
          <w:p w14:paraId="610FBBDE" w14:textId="77777777" w:rsidR="007E053E" w:rsidRPr="006F5A3B" w:rsidRDefault="007E053E" w:rsidP="007E053E">
            <w:pPr>
              <w:autoSpaceDE w:val="0"/>
              <w:autoSpaceDN w:val="0"/>
              <w:adjustRightInd w:val="0"/>
              <w:jc w:val="center"/>
              <w:rPr>
                <w:rFonts w:eastAsia="Calibri"/>
                <w:lang w:eastAsia="en-US"/>
              </w:rPr>
            </w:pPr>
          </w:p>
        </w:tc>
      </w:tr>
      <w:tr w:rsidR="007E053E" w:rsidRPr="006F5A3B" w14:paraId="6332124F" w14:textId="77777777" w:rsidTr="009C1067">
        <w:trPr>
          <w:jc w:val="center"/>
        </w:trPr>
        <w:tc>
          <w:tcPr>
            <w:tcW w:w="1486" w:type="pct"/>
            <w:shd w:val="clear" w:color="auto" w:fill="auto"/>
            <w:hideMark/>
          </w:tcPr>
          <w:p w14:paraId="2E9179FC" w14:textId="77777777" w:rsidR="007E053E" w:rsidRPr="006F5A3B" w:rsidRDefault="007E053E" w:rsidP="007E053E">
            <w:pPr>
              <w:ind w:left="224"/>
              <w:rPr>
                <w:lang w:eastAsia="uk-UA"/>
              </w:rPr>
            </w:pPr>
            <w:r w:rsidRPr="006F5A3B">
              <w:rPr>
                <w:lang w:eastAsia="uk-UA"/>
              </w:rPr>
              <w:t>млн доларів США</w:t>
            </w:r>
          </w:p>
        </w:tc>
        <w:tc>
          <w:tcPr>
            <w:tcW w:w="459" w:type="pct"/>
            <w:shd w:val="clear" w:color="auto" w:fill="auto"/>
            <w:vAlign w:val="bottom"/>
            <w:hideMark/>
          </w:tcPr>
          <w:p w14:paraId="1E0179BD"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83 254</w:t>
            </w:r>
          </w:p>
        </w:tc>
        <w:tc>
          <w:tcPr>
            <w:tcW w:w="791" w:type="pct"/>
            <w:shd w:val="clear" w:color="auto" w:fill="auto"/>
            <w:vAlign w:val="bottom"/>
          </w:tcPr>
          <w:p w14:paraId="39A7FC30"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91 715</w:t>
            </w:r>
          </w:p>
        </w:tc>
        <w:tc>
          <w:tcPr>
            <w:tcW w:w="794" w:type="pct"/>
            <w:vAlign w:val="bottom"/>
          </w:tcPr>
          <w:p w14:paraId="7C827D9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91 064</w:t>
            </w:r>
          </w:p>
        </w:tc>
        <w:tc>
          <w:tcPr>
            <w:tcW w:w="792" w:type="pct"/>
            <w:shd w:val="clear" w:color="auto" w:fill="auto"/>
            <w:vAlign w:val="bottom"/>
          </w:tcPr>
          <w:p w14:paraId="35185CD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86 701</w:t>
            </w:r>
          </w:p>
        </w:tc>
        <w:tc>
          <w:tcPr>
            <w:tcW w:w="679" w:type="pct"/>
            <w:vAlign w:val="bottom"/>
          </w:tcPr>
          <w:p w14:paraId="02ADDE34"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96 444</w:t>
            </w:r>
          </w:p>
        </w:tc>
      </w:tr>
      <w:tr w:rsidR="007E053E" w:rsidRPr="006F5A3B" w14:paraId="5C269CED" w14:textId="77777777" w:rsidTr="009C1067">
        <w:trPr>
          <w:jc w:val="center"/>
        </w:trPr>
        <w:tc>
          <w:tcPr>
            <w:tcW w:w="1486" w:type="pct"/>
            <w:tcBorders>
              <w:bottom w:val="single" w:sz="4" w:space="0" w:color="auto"/>
            </w:tcBorders>
            <w:shd w:val="clear" w:color="auto" w:fill="auto"/>
            <w:hideMark/>
          </w:tcPr>
          <w:p w14:paraId="12F53AFE" w14:textId="77777777" w:rsidR="007E053E" w:rsidRPr="006F5A3B" w:rsidRDefault="007E053E" w:rsidP="007E053E">
            <w:pPr>
              <w:ind w:left="224"/>
              <w:rPr>
                <w:lang w:eastAsia="uk-UA"/>
              </w:rPr>
            </w:pPr>
            <w:r w:rsidRPr="006F5A3B">
              <w:rPr>
                <w:lang w:eastAsia="uk-UA"/>
              </w:rPr>
              <w:t>зміна, відсотків, р/р</w:t>
            </w:r>
          </w:p>
        </w:tc>
        <w:tc>
          <w:tcPr>
            <w:tcW w:w="459" w:type="pct"/>
            <w:tcBorders>
              <w:bottom w:val="single" w:sz="4" w:space="0" w:color="auto"/>
            </w:tcBorders>
            <w:shd w:val="clear" w:color="auto" w:fill="auto"/>
            <w:vAlign w:val="bottom"/>
            <w:hideMark/>
          </w:tcPr>
          <w:p w14:paraId="64E4E80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-1,1</w:t>
            </w:r>
          </w:p>
        </w:tc>
        <w:tc>
          <w:tcPr>
            <w:tcW w:w="791" w:type="pct"/>
            <w:tcBorders>
              <w:bottom w:val="single" w:sz="4" w:space="0" w:color="auto"/>
            </w:tcBorders>
            <w:shd w:val="clear" w:color="auto" w:fill="auto"/>
            <w:vAlign w:val="bottom"/>
          </w:tcPr>
          <w:p w14:paraId="3CA658DE"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10,6</w:t>
            </w:r>
          </w:p>
        </w:tc>
        <w:tc>
          <w:tcPr>
            <w:tcW w:w="794" w:type="pct"/>
            <w:tcBorders>
              <w:bottom w:val="single" w:sz="4" w:space="0" w:color="auto"/>
            </w:tcBorders>
            <w:vAlign w:val="bottom"/>
          </w:tcPr>
          <w:p w14:paraId="54AC0DF2"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9,4</w:t>
            </w:r>
          </w:p>
        </w:tc>
        <w:tc>
          <w:tcPr>
            <w:tcW w:w="792" w:type="pct"/>
            <w:tcBorders>
              <w:bottom w:val="single" w:sz="4" w:space="0" w:color="auto"/>
            </w:tcBorders>
            <w:shd w:val="clear" w:color="auto" w:fill="auto"/>
            <w:vAlign w:val="bottom"/>
          </w:tcPr>
          <w:p w14:paraId="679FD9D3"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-5,5</w:t>
            </w:r>
          </w:p>
        </w:tc>
        <w:tc>
          <w:tcPr>
            <w:tcW w:w="679" w:type="pct"/>
            <w:tcBorders>
              <w:bottom w:val="single" w:sz="4" w:space="0" w:color="auto"/>
            </w:tcBorders>
            <w:vAlign w:val="bottom"/>
          </w:tcPr>
          <w:p w14:paraId="7A74567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5,9</w:t>
            </w:r>
          </w:p>
        </w:tc>
      </w:tr>
      <w:tr w:rsidR="007E053E" w:rsidRPr="006F5A3B" w14:paraId="69A28722" w14:textId="77777777" w:rsidTr="009C1067">
        <w:trPr>
          <w:trHeight w:val="174"/>
          <w:jc w:val="center"/>
        </w:trPr>
        <w:tc>
          <w:tcPr>
            <w:tcW w:w="5000" w:type="pct"/>
            <w:gridSpan w:val="6"/>
            <w:tcBorders>
              <w:top w:val="single" w:sz="4" w:space="0" w:color="auto"/>
              <w:left w:val="single" w:sz="4" w:space="0" w:color="auto"/>
              <w:bottom w:val="nil"/>
              <w:right w:val="single" w:sz="4" w:space="0" w:color="auto"/>
            </w:tcBorders>
          </w:tcPr>
          <w:p w14:paraId="505F0DD5"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Припущення прогнозу</w:t>
            </w:r>
          </w:p>
        </w:tc>
      </w:tr>
      <w:tr w:rsidR="007E053E" w:rsidRPr="006F5A3B" w14:paraId="218411B9" w14:textId="77777777" w:rsidTr="009C1067">
        <w:trPr>
          <w:jc w:val="center"/>
        </w:trPr>
        <w:tc>
          <w:tcPr>
            <w:tcW w:w="1486" w:type="pct"/>
            <w:tcBorders>
              <w:top w:val="single" w:sz="4" w:space="0" w:color="auto"/>
              <w:left w:val="single" w:sz="4" w:space="0" w:color="auto"/>
              <w:bottom w:val="nil"/>
              <w:right w:val="single" w:sz="4" w:space="0" w:color="auto"/>
            </w:tcBorders>
            <w:shd w:val="clear" w:color="auto" w:fill="auto"/>
            <w:vAlign w:val="bottom"/>
          </w:tcPr>
          <w:p w14:paraId="1B270CA1" w14:textId="77777777" w:rsidR="007E053E" w:rsidRPr="006F5A3B" w:rsidRDefault="007E053E" w:rsidP="007E053E">
            <w:pPr>
              <w:ind w:left="224" w:hanging="224"/>
              <w:rPr>
                <w:lang w:eastAsia="uk-UA"/>
              </w:rPr>
            </w:pPr>
            <w:r w:rsidRPr="006F5A3B">
              <w:rPr>
                <w:bCs/>
                <w:lang w:eastAsia="uk-UA"/>
              </w:rPr>
              <w:t>Обмінний курс</w:t>
            </w:r>
            <w:r w:rsidRPr="006F5A3B">
              <w:rPr>
                <w:lang w:eastAsia="uk-UA"/>
              </w:rPr>
              <w:t>, грн за долар США</w:t>
            </w:r>
          </w:p>
        </w:tc>
        <w:tc>
          <w:tcPr>
            <w:tcW w:w="459" w:type="pct"/>
            <w:tcBorders>
              <w:top w:val="single" w:sz="4" w:space="0" w:color="auto"/>
              <w:left w:val="single" w:sz="4" w:space="0" w:color="auto"/>
              <w:bottom w:val="nil"/>
              <w:right w:val="single" w:sz="4" w:space="0" w:color="auto"/>
            </w:tcBorders>
            <w:shd w:val="clear" w:color="auto" w:fill="auto"/>
            <w:vAlign w:val="bottom"/>
          </w:tcPr>
          <w:p w14:paraId="441C37D5" w14:textId="77777777" w:rsidR="007E053E" w:rsidRPr="006F5A3B" w:rsidRDefault="007E053E" w:rsidP="007E053E">
            <w:pPr>
              <w:autoSpaceDE w:val="0"/>
              <w:autoSpaceDN w:val="0"/>
              <w:adjustRightInd w:val="0"/>
              <w:jc w:val="center"/>
              <w:rPr>
                <w:rFonts w:eastAsia="Calibri"/>
                <w:lang w:eastAsia="en-US"/>
              </w:rPr>
            </w:pPr>
          </w:p>
        </w:tc>
        <w:tc>
          <w:tcPr>
            <w:tcW w:w="791" w:type="pct"/>
            <w:tcBorders>
              <w:top w:val="single" w:sz="4" w:space="0" w:color="auto"/>
              <w:left w:val="single" w:sz="4" w:space="0" w:color="auto"/>
              <w:bottom w:val="nil"/>
              <w:right w:val="single" w:sz="4" w:space="0" w:color="auto"/>
            </w:tcBorders>
            <w:shd w:val="clear" w:color="auto" w:fill="auto"/>
            <w:vAlign w:val="bottom"/>
          </w:tcPr>
          <w:p w14:paraId="0996BAD4" w14:textId="77777777" w:rsidR="007E053E" w:rsidRPr="006F5A3B" w:rsidRDefault="007E053E" w:rsidP="007E053E">
            <w:pPr>
              <w:autoSpaceDE w:val="0"/>
              <w:autoSpaceDN w:val="0"/>
              <w:adjustRightInd w:val="0"/>
              <w:jc w:val="center"/>
              <w:rPr>
                <w:rFonts w:eastAsia="Calibri"/>
                <w:lang w:eastAsia="en-US"/>
              </w:rPr>
            </w:pPr>
          </w:p>
        </w:tc>
        <w:tc>
          <w:tcPr>
            <w:tcW w:w="794" w:type="pct"/>
            <w:tcBorders>
              <w:top w:val="single" w:sz="4" w:space="0" w:color="auto"/>
              <w:left w:val="single" w:sz="4" w:space="0" w:color="auto"/>
              <w:bottom w:val="nil"/>
              <w:right w:val="single" w:sz="4" w:space="0" w:color="auto"/>
            </w:tcBorders>
            <w:vAlign w:val="bottom"/>
          </w:tcPr>
          <w:p w14:paraId="7689FF53" w14:textId="77777777" w:rsidR="007E053E" w:rsidRPr="006F5A3B" w:rsidRDefault="007E053E" w:rsidP="007E053E">
            <w:pPr>
              <w:autoSpaceDE w:val="0"/>
              <w:autoSpaceDN w:val="0"/>
              <w:adjustRightInd w:val="0"/>
              <w:jc w:val="center"/>
              <w:rPr>
                <w:rFonts w:eastAsia="Calibri"/>
                <w:lang w:eastAsia="en-US"/>
              </w:rPr>
            </w:pPr>
          </w:p>
        </w:tc>
        <w:tc>
          <w:tcPr>
            <w:tcW w:w="792" w:type="pct"/>
            <w:tcBorders>
              <w:top w:val="single" w:sz="4" w:space="0" w:color="auto"/>
              <w:left w:val="single" w:sz="4" w:space="0" w:color="auto"/>
              <w:bottom w:val="nil"/>
              <w:right w:val="single" w:sz="4" w:space="0" w:color="auto"/>
            </w:tcBorders>
            <w:shd w:val="clear" w:color="auto" w:fill="auto"/>
            <w:vAlign w:val="bottom"/>
          </w:tcPr>
          <w:p w14:paraId="271508B7" w14:textId="77777777" w:rsidR="007E053E" w:rsidRPr="006F5A3B" w:rsidRDefault="007E053E" w:rsidP="007E053E">
            <w:pPr>
              <w:autoSpaceDE w:val="0"/>
              <w:autoSpaceDN w:val="0"/>
              <w:adjustRightInd w:val="0"/>
              <w:jc w:val="center"/>
              <w:rPr>
                <w:rFonts w:eastAsia="Calibri"/>
                <w:lang w:eastAsia="en-US"/>
              </w:rPr>
            </w:pPr>
          </w:p>
        </w:tc>
        <w:tc>
          <w:tcPr>
            <w:tcW w:w="679" w:type="pct"/>
            <w:tcBorders>
              <w:top w:val="single" w:sz="4" w:space="0" w:color="auto"/>
              <w:left w:val="single" w:sz="4" w:space="0" w:color="auto"/>
              <w:bottom w:val="nil"/>
              <w:right w:val="single" w:sz="4" w:space="0" w:color="auto"/>
            </w:tcBorders>
          </w:tcPr>
          <w:p w14:paraId="6CFC2E2B" w14:textId="77777777" w:rsidR="007E053E" w:rsidRPr="006F5A3B" w:rsidRDefault="007E053E" w:rsidP="007E053E">
            <w:pPr>
              <w:autoSpaceDE w:val="0"/>
              <w:autoSpaceDN w:val="0"/>
              <w:adjustRightInd w:val="0"/>
              <w:jc w:val="center"/>
              <w:rPr>
                <w:rFonts w:eastAsia="Calibri"/>
                <w:lang w:eastAsia="en-US"/>
              </w:rPr>
            </w:pPr>
          </w:p>
        </w:tc>
      </w:tr>
      <w:tr w:rsidR="007E053E" w:rsidRPr="006F5A3B" w14:paraId="1ACD9A9B" w14:textId="77777777" w:rsidTr="009C1067">
        <w:trPr>
          <w:jc w:val="center"/>
        </w:trPr>
        <w:tc>
          <w:tcPr>
            <w:tcW w:w="1486" w:type="pct"/>
            <w:tcBorders>
              <w:top w:val="nil"/>
              <w:left w:val="single" w:sz="4" w:space="0" w:color="auto"/>
              <w:bottom w:val="single" w:sz="4" w:space="0" w:color="auto"/>
              <w:right w:val="single" w:sz="4" w:space="0" w:color="auto"/>
            </w:tcBorders>
            <w:shd w:val="clear" w:color="auto" w:fill="auto"/>
            <w:vAlign w:val="bottom"/>
          </w:tcPr>
          <w:p w14:paraId="62A8A179" w14:textId="77777777" w:rsidR="007E053E" w:rsidRPr="006F5A3B" w:rsidRDefault="007E053E" w:rsidP="007E053E">
            <w:pPr>
              <w:ind w:left="224"/>
              <w:rPr>
                <w:lang w:eastAsia="uk-UA"/>
              </w:rPr>
            </w:pPr>
            <w:r w:rsidRPr="006F5A3B">
              <w:rPr>
                <w:lang w:eastAsia="uk-UA"/>
              </w:rPr>
              <w:t>в середньому за період</w:t>
            </w:r>
          </w:p>
        </w:tc>
        <w:tc>
          <w:tcPr>
            <w:tcW w:w="459" w:type="pct"/>
            <w:tcBorders>
              <w:top w:val="nil"/>
              <w:left w:val="single" w:sz="4" w:space="0" w:color="auto"/>
              <w:bottom w:val="single" w:sz="4" w:space="0" w:color="auto"/>
              <w:right w:val="single" w:sz="4" w:space="0" w:color="auto"/>
            </w:tcBorders>
            <w:shd w:val="clear" w:color="auto" w:fill="auto"/>
            <w:vAlign w:val="bottom"/>
          </w:tcPr>
          <w:p w14:paraId="7A4792CB"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32,3</w:t>
            </w:r>
          </w:p>
        </w:tc>
        <w:tc>
          <w:tcPr>
            <w:tcW w:w="791" w:type="pct"/>
            <w:tcBorders>
              <w:top w:val="nil"/>
              <w:left w:val="single" w:sz="4" w:space="0" w:color="auto"/>
              <w:bottom w:val="single" w:sz="4" w:space="0" w:color="auto"/>
              <w:right w:val="single" w:sz="4" w:space="0" w:color="auto"/>
            </w:tcBorders>
            <w:shd w:val="clear" w:color="auto" w:fill="auto"/>
            <w:vAlign w:val="bottom"/>
          </w:tcPr>
          <w:p w14:paraId="26D76EE8"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37,5</w:t>
            </w:r>
          </w:p>
        </w:tc>
        <w:tc>
          <w:tcPr>
            <w:tcW w:w="794" w:type="pct"/>
            <w:tcBorders>
              <w:top w:val="nil"/>
              <w:left w:val="single" w:sz="4" w:space="0" w:color="auto"/>
              <w:bottom w:val="single" w:sz="4" w:space="0" w:color="auto"/>
              <w:right w:val="single" w:sz="4" w:space="0" w:color="auto"/>
            </w:tcBorders>
            <w:vAlign w:val="bottom"/>
          </w:tcPr>
          <w:p w14:paraId="31C6892F"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36,9</w:t>
            </w:r>
          </w:p>
        </w:tc>
        <w:tc>
          <w:tcPr>
            <w:tcW w:w="792" w:type="pct"/>
            <w:tcBorders>
              <w:top w:val="nil"/>
              <w:left w:val="single" w:sz="4" w:space="0" w:color="auto"/>
              <w:bottom w:val="single" w:sz="4" w:space="0" w:color="auto"/>
              <w:right w:val="single" w:sz="4" w:space="0" w:color="auto"/>
            </w:tcBorders>
            <w:shd w:val="clear" w:color="auto" w:fill="auto"/>
            <w:vAlign w:val="bottom"/>
          </w:tcPr>
          <w:p w14:paraId="28898DD1"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41,4</w:t>
            </w:r>
          </w:p>
        </w:tc>
        <w:tc>
          <w:tcPr>
            <w:tcW w:w="679" w:type="pct"/>
            <w:tcBorders>
              <w:top w:val="nil"/>
              <w:left w:val="single" w:sz="4" w:space="0" w:color="auto"/>
              <w:bottom w:val="single" w:sz="4" w:space="0" w:color="auto"/>
              <w:right w:val="single" w:sz="4" w:space="0" w:color="auto"/>
            </w:tcBorders>
            <w:vAlign w:val="bottom"/>
          </w:tcPr>
          <w:p w14:paraId="4012582D"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40,7</w:t>
            </w:r>
          </w:p>
        </w:tc>
      </w:tr>
      <w:tr w:rsidR="007E053E" w:rsidRPr="006F5A3B" w14:paraId="05D19587" w14:textId="77777777" w:rsidTr="009C1067">
        <w:trPr>
          <w:jc w:val="center"/>
        </w:trPr>
        <w:tc>
          <w:tcPr>
            <w:tcW w:w="1486" w:type="pct"/>
            <w:tcBorders>
              <w:top w:val="single" w:sz="4" w:space="0" w:color="auto"/>
            </w:tcBorders>
            <w:shd w:val="clear" w:color="auto" w:fill="auto"/>
            <w:vAlign w:val="bottom"/>
          </w:tcPr>
          <w:p w14:paraId="5CB0E122" w14:textId="77777777" w:rsidR="007E053E" w:rsidRPr="006F5A3B" w:rsidRDefault="007E053E" w:rsidP="007E053E">
            <w:pPr>
              <w:ind w:left="224"/>
              <w:rPr>
                <w:lang w:eastAsia="uk-UA"/>
              </w:rPr>
            </w:pPr>
            <w:r w:rsidRPr="006F5A3B">
              <w:rPr>
                <w:lang w:eastAsia="uk-UA"/>
              </w:rPr>
              <w:t>на кінець періоду</w:t>
            </w:r>
          </w:p>
        </w:tc>
        <w:tc>
          <w:tcPr>
            <w:tcW w:w="459" w:type="pct"/>
            <w:tcBorders>
              <w:top w:val="single" w:sz="4" w:space="0" w:color="auto"/>
            </w:tcBorders>
            <w:shd w:val="clear" w:color="auto" w:fill="auto"/>
            <w:vAlign w:val="bottom"/>
          </w:tcPr>
          <w:p w14:paraId="08B9B15E"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36,6</w:t>
            </w:r>
          </w:p>
        </w:tc>
        <w:tc>
          <w:tcPr>
            <w:tcW w:w="791" w:type="pct"/>
            <w:tcBorders>
              <w:top w:val="single" w:sz="4" w:space="0" w:color="auto"/>
            </w:tcBorders>
            <w:shd w:val="clear" w:color="auto" w:fill="auto"/>
            <w:vAlign w:val="bottom"/>
          </w:tcPr>
          <w:p w14:paraId="56D618B9"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40,2</w:t>
            </w:r>
          </w:p>
        </w:tc>
        <w:tc>
          <w:tcPr>
            <w:tcW w:w="794" w:type="pct"/>
            <w:tcBorders>
              <w:top w:val="single" w:sz="4" w:space="0" w:color="auto"/>
            </w:tcBorders>
            <w:vAlign w:val="bottom"/>
          </w:tcPr>
          <w:p w14:paraId="6E7F462C"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38,6</w:t>
            </w:r>
          </w:p>
        </w:tc>
        <w:tc>
          <w:tcPr>
            <w:tcW w:w="792" w:type="pct"/>
            <w:tcBorders>
              <w:top w:val="single" w:sz="4" w:space="0" w:color="auto"/>
            </w:tcBorders>
            <w:shd w:val="clear" w:color="auto" w:fill="auto"/>
            <w:vAlign w:val="bottom"/>
          </w:tcPr>
          <w:p w14:paraId="23B40571"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44,2</w:t>
            </w:r>
          </w:p>
        </w:tc>
        <w:tc>
          <w:tcPr>
            <w:tcW w:w="679" w:type="pct"/>
            <w:tcBorders>
              <w:top w:val="single" w:sz="4" w:space="0" w:color="auto"/>
            </w:tcBorders>
            <w:vAlign w:val="bottom"/>
          </w:tcPr>
          <w:p w14:paraId="4C41727A" w14:textId="77777777" w:rsidR="007E053E" w:rsidRPr="006F5A3B" w:rsidRDefault="007E053E" w:rsidP="007E053E">
            <w:pPr>
              <w:autoSpaceDE w:val="0"/>
              <w:autoSpaceDN w:val="0"/>
              <w:adjustRightInd w:val="0"/>
              <w:jc w:val="center"/>
              <w:rPr>
                <w:rFonts w:eastAsia="Calibri"/>
                <w:lang w:eastAsia="en-US"/>
              </w:rPr>
            </w:pPr>
            <w:r w:rsidRPr="006F5A3B">
              <w:rPr>
                <w:rFonts w:eastAsia="Calibri"/>
                <w:lang w:eastAsia="en-US"/>
              </w:rPr>
              <w:t>42,1</w:t>
            </w:r>
          </w:p>
        </w:tc>
      </w:tr>
    </w:tbl>
    <w:p w14:paraId="54622266" w14:textId="77777777" w:rsidR="007E053E" w:rsidRPr="006F5A3B" w:rsidRDefault="007E053E" w:rsidP="007E053E">
      <w:pPr>
        <w:keepNext/>
        <w:widowControl w:val="0"/>
        <w:ind w:firstLine="567"/>
        <w:jc w:val="both"/>
        <w:rPr>
          <w:rFonts w:eastAsia="Calibri"/>
          <w:i/>
          <w:lang w:eastAsia="en-US"/>
        </w:rPr>
      </w:pPr>
      <w:r w:rsidRPr="006F5A3B">
        <w:rPr>
          <w:rFonts w:eastAsia="Calibri"/>
          <w:i/>
          <w:lang w:eastAsia="en-US"/>
        </w:rPr>
        <w:t>* Оцінка Міністерства економіки України</w:t>
      </w:r>
    </w:p>
    <w:p w14:paraId="53CE9266" w14:textId="77777777" w:rsidR="007E053E" w:rsidRPr="006F5A3B" w:rsidRDefault="007E053E" w:rsidP="00BF4DBA">
      <w:pPr>
        <w:keepNext/>
        <w:widowControl w:val="0"/>
        <w:spacing w:after="120"/>
        <w:ind w:firstLine="567"/>
        <w:jc w:val="both"/>
        <w:rPr>
          <w:rFonts w:eastAsia="Calibri"/>
          <w:i/>
          <w:lang w:eastAsia="en-US"/>
        </w:rPr>
      </w:pPr>
      <w:r w:rsidRPr="006F5A3B">
        <w:rPr>
          <w:rFonts w:eastAsia="Calibri"/>
          <w:i/>
          <w:lang w:eastAsia="en-US"/>
        </w:rPr>
        <w:t>Джерело: Державна служба статистики України, Національний банк України, прогноз Міністерства економіки України</w:t>
      </w:r>
    </w:p>
    <w:p w14:paraId="36D329BF" w14:textId="77777777" w:rsidR="007E053E" w:rsidRPr="006F5A3B" w:rsidRDefault="007E053E" w:rsidP="00BF4DBA">
      <w:pPr>
        <w:tabs>
          <w:tab w:val="left" w:pos="714"/>
        </w:tabs>
        <w:spacing w:after="120"/>
        <w:ind w:firstLine="567"/>
        <w:jc w:val="both"/>
        <w:rPr>
          <w:sz w:val="28"/>
          <w:szCs w:val="28"/>
          <w:lang w:eastAsia="uk-UA"/>
        </w:rPr>
      </w:pPr>
      <w:r w:rsidRPr="006F5A3B">
        <w:rPr>
          <w:sz w:val="28"/>
          <w:szCs w:val="28"/>
          <w:lang w:eastAsia="uk-UA"/>
        </w:rPr>
        <w:t xml:space="preserve">В умовах </w:t>
      </w:r>
      <w:proofErr w:type="spellStart"/>
      <w:r w:rsidRPr="006F5A3B">
        <w:rPr>
          <w:sz w:val="28"/>
          <w:szCs w:val="28"/>
          <w:lang w:eastAsia="uk-UA"/>
        </w:rPr>
        <w:t>високодинамічної</w:t>
      </w:r>
      <w:proofErr w:type="spellEnd"/>
      <w:r w:rsidRPr="006F5A3B">
        <w:rPr>
          <w:sz w:val="28"/>
          <w:szCs w:val="28"/>
          <w:lang w:eastAsia="uk-UA"/>
        </w:rPr>
        <w:t xml:space="preserve"> та непередбачуваної ситуації у сфері національної та регіональної безпеки, інтенсивності зміни воєнної ситуації, можливості виникнення нових шоків прогнозні </w:t>
      </w:r>
      <w:proofErr w:type="spellStart"/>
      <w:r w:rsidRPr="006F5A3B">
        <w:rPr>
          <w:sz w:val="28"/>
          <w:szCs w:val="28"/>
          <w:lang w:eastAsia="uk-UA"/>
        </w:rPr>
        <w:t>макропоказники</w:t>
      </w:r>
      <w:proofErr w:type="spellEnd"/>
      <w:r w:rsidRPr="006F5A3B">
        <w:rPr>
          <w:sz w:val="28"/>
          <w:szCs w:val="28"/>
          <w:lang w:eastAsia="uk-UA"/>
        </w:rPr>
        <w:t xml:space="preserve"> на 2024 рік можуть бути уточнені як у бік покращення, так і у бік погіршення.</w:t>
      </w:r>
    </w:p>
    <w:p w14:paraId="5DF5644B" w14:textId="77777777" w:rsidR="0034200B" w:rsidRPr="00DF7046" w:rsidRDefault="00E07866" w:rsidP="004E3103">
      <w:pPr>
        <w:pStyle w:val="af1"/>
        <w:spacing w:before="0" w:beforeAutospacing="0" w:after="120" w:afterAutospacing="0"/>
        <w:ind w:firstLine="709"/>
        <w:jc w:val="both"/>
        <w:rPr>
          <w:b/>
          <w:sz w:val="28"/>
          <w:szCs w:val="28"/>
        </w:rPr>
      </w:pPr>
      <w:bookmarkStart w:id="0" w:name="n144"/>
      <w:bookmarkStart w:id="1" w:name="n6"/>
      <w:bookmarkEnd w:id="0"/>
      <w:bookmarkEnd w:id="1"/>
      <w:r w:rsidRPr="00DF7046">
        <w:rPr>
          <w:b/>
          <w:sz w:val="28"/>
          <w:szCs w:val="28"/>
        </w:rPr>
        <w:t>Д</w:t>
      </w:r>
      <w:r w:rsidR="0034200B" w:rsidRPr="00DF7046">
        <w:rPr>
          <w:b/>
          <w:sz w:val="28"/>
          <w:szCs w:val="28"/>
        </w:rPr>
        <w:t xml:space="preserve">оопрацьований до другого читання </w:t>
      </w:r>
      <w:r w:rsidR="00A046BF" w:rsidRPr="00DF7046">
        <w:rPr>
          <w:b/>
          <w:sz w:val="28"/>
          <w:szCs w:val="28"/>
        </w:rPr>
        <w:t xml:space="preserve">законопроект </w:t>
      </w:r>
      <w:r w:rsidR="0034200B" w:rsidRPr="00DF7046">
        <w:rPr>
          <w:b/>
          <w:sz w:val="28"/>
          <w:szCs w:val="28"/>
        </w:rPr>
        <w:t xml:space="preserve">є збалансованим та </w:t>
      </w:r>
      <w:r w:rsidR="00AC2F46" w:rsidRPr="00DF7046">
        <w:rPr>
          <w:b/>
          <w:sz w:val="28"/>
          <w:szCs w:val="28"/>
        </w:rPr>
        <w:t>передбачає</w:t>
      </w:r>
      <w:r w:rsidR="0034200B" w:rsidRPr="00DF7046">
        <w:rPr>
          <w:b/>
          <w:sz w:val="28"/>
          <w:szCs w:val="28"/>
        </w:rPr>
        <w:t>:</w:t>
      </w:r>
    </w:p>
    <w:p w14:paraId="2A157E45" w14:textId="77777777" w:rsidR="00FC4321" w:rsidRDefault="002A765B" w:rsidP="00FC4321">
      <w:pPr>
        <w:spacing w:before="60"/>
        <w:ind w:firstLine="567"/>
        <w:jc w:val="both"/>
        <w:rPr>
          <w:sz w:val="28"/>
          <w:szCs w:val="28"/>
          <w:lang w:eastAsia="en-US"/>
        </w:rPr>
      </w:pPr>
      <w:r w:rsidRPr="00B5364C">
        <w:rPr>
          <w:b/>
          <w:sz w:val="28"/>
          <w:szCs w:val="28"/>
        </w:rPr>
        <w:t>І.</w:t>
      </w:r>
      <w:r w:rsidRPr="006F5A3B">
        <w:rPr>
          <w:sz w:val="28"/>
          <w:szCs w:val="28"/>
          <w:lang w:eastAsia="uk-UA"/>
        </w:rPr>
        <w:t xml:space="preserve"> </w:t>
      </w:r>
      <w:r w:rsidR="00FC4321" w:rsidRPr="006F5A3B">
        <w:rPr>
          <w:sz w:val="28"/>
          <w:szCs w:val="28"/>
          <w:lang w:eastAsia="uk-UA"/>
        </w:rPr>
        <w:t>Доходи проекту державного бюджету на 202</w:t>
      </w:r>
      <w:r w:rsidR="00FC4321" w:rsidRPr="006F5A3B">
        <w:rPr>
          <w:sz w:val="28"/>
          <w:szCs w:val="28"/>
          <w:lang w:val="ru-RU" w:eastAsia="uk-UA"/>
        </w:rPr>
        <w:t>4</w:t>
      </w:r>
      <w:r w:rsidR="00FC4321" w:rsidRPr="006F5A3B">
        <w:rPr>
          <w:sz w:val="28"/>
          <w:szCs w:val="28"/>
          <w:lang w:eastAsia="uk-UA"/>
        </w:rPr>
        <w:t xml:space="preserve"> рік (без трансфертів) передбачено у сумі </w:t>
      </w:r>
      <w:r w:rsidR="00FC4321" w:rsidRPr="006F5A3B">
        <w:rPr>
          <w:sz w:val="28"/>
          <w:szCs w:val="28"/>
          <w:lang w:val="ru-RU" w:eastAsia="uk-UA"/>
        </w:rPr>
        <w:t>1 </w:t>
      </w:r>
      <w:r w:rsidR="00FC4321" w:rsidRPr="006F5A3B">
        <w:rPr>
          <w:sz w:val="28"/>
          <w:szCs w:val="28"/>
          <w:lang w:eastAsia="uk-UA"/>
        </w:rPr>
        <w:t>768</w:t>
      </w:r>
      <w:r w:rsidR="00FC4321" w:rsidRPr="006F5A3B">
        <w:rPr>
          <w:sz w:val="28"/>
          <w:szCs w:val="28"/>
          <w:lang w:val="ru-RU" w:eastAsia="uk-UA"/>
        </w:rPr>
        <w:t> </w:t>
      </w:r>
      <w:r w:rsidR="00FC4321" w:rsidRPr="006F5A3B">
        <w:rPr>
          <w:sz w:val="28"/>
          <w:szCs w:val="28"/>
          <w:lang w:eastAsia="uk-UA"/>
        </w:rPr>
        <w:t xml:space="preserve">451,2 млн грн, у тому числі доходи загального фонду – </w:t>
      </w:r>
      <w:r w:rsidR="00FC4321" w:rsidRPr="006F5A3B">
        <w:rPr>
          <w:sz w:val="28"/>
          <w:szCs w:val="28"/>
          <w:lang w:val="ru-RU" w:eastAsia="uk-UA"/>
        </w:rPr>
        <w:t>1 </w:t>
      </w:r>
      <w:r w:rsidR="00FC4321" w:rsidRPr="006F5A3B">
        <w:rPr>
          <w:sz w:val="28"/>
          <w:szCs w:val="28"/>
          <w:lang w:eastAsia="uk-UA"/>
        </w:rPr>
        <w:t>596</w:t>
      </w:r>
      <w:r w:rsidR="00FC4321" w:rsidRPr="006F5A3B">
        <w:rPr>
          <w:sz w:val="28"/>
          <w:szCs w:val="28"/>
          <w:lang w:val="ru-RU" w:eastAsia="uk-UA"/>
        </w:rPr>
        <w:t> </w:t>
      </w:r>
      <w:r w:rsidR="00FC4321" w:rsidRPr="006F5A3B">
        <w:rPr>
          <w:sz w:val="28"/>
          <w:szCs w:val="28"/>
          <w:lang w:eastAsia="uk-UA"/>
        </w:rPr>
        <w:t>619,8 млн грн та доходи спеціального фонду – 171</w:t>
      </w:r>
      <w:r w:rsidR="00FC4321" w:rsidRPr="006F5A3B">
        <w:rPr>
          <w:sz w:val="28"/>
          <w:szCs w:val="28"/>
          <w:lang w:val="ru-RU" w:eastAsia="uk-UA"/>
        </w:rPr>
        <w:t> </w:t>
      </w:r>
      <w:r w:rsidR="00FC4321" w:rsidRPr="006F5A3B">
        <w:rPr>
          <w:sz w:val="28"/>
          <w:szCs w:val="28"/>
          <w:lang w:eastAsia="uk-UA"/>
        </w:rPr>
        <w:t xml:space="preserve">831,4 млн грн, та </w:t>
      </w:r>
      <w:r w:rsidR="00FC4321" w:rsidRPr="006F5A3B">
        <w:rPr>
          <w:sz w:val="28"/>
          <w:szCs w:val="28"/>
          <w:lang w:eastAsia="en-US"/>
        </w:rPr>
        <w:t xml:space="preserve">пропонується збільшити порівняно з </w:t>
      </w:r>
      <w:r w:rsidR="00BF4DBA" w:rsidRPr="006F5A3B">
        <w:rPr>
          <w:sz w:val="28"/>
          <w:szCs w:val="28"/>
          <w:lang w:eastAsia="en-US"/>
        </w:rPr>
        <w:t>першим</w:t>
      </w:r>
      <w:r w:rsidR="00FC4321" w:rsidRPr="006F5A3B">
        <w:rPr>
          <w:sz w:val="28"/>
          <w:szCs w:val="28"/>
          <w:lang w:eastAsia="en-US"/>
        </w:rPr>
        <w:t xml:space="preserve"> читанням на 36</w:t>
      </w:r>
      <w:r w:rsidR="00FC4321" w:rsidRPr="006F5A3B">
        <w:rPr>
          <w:sz w:val="28"/>
          <w:szCs w:val="28"/>
          <w:lang w:val="ru-RU" w:eastAsia="en-US"/>
        </w:rPr>
        <w:t> </w:t>
      </w:r>
      <w:r w:rsidR="00FC4321" w:rsidRPr="006F5A3B">
        <w:rPr>
          <w:sz w:val="28"/>
          <w:szCs w:val="28"/>
          <w:lang w:eastAsia="en-US"/>
        </w:rPr>
        <w:t xml:space="preserve">273,9 </w:t>
      </w:r>
      <w:r w:rsidR="00FC4321" w:rsidRPr="006F5A3B">
        <w:rPr>
          <w:sz w:val="28"/>
          <w:szCs w:val="28"/>
          <w:lang w:eastAsia="uk-UA"/>
        </w:rPr>
        <w:t>млн</w:t>
      </w:r>
      <w:r w:rsidR="00FC4321" w:rsidRPr="006F5A3B">
        <w:rPr>
          <w:sz w:val="28"/>
          <w:szCs w:val="28"/>
          <w:lang w:eastAsia="en-US"/>
        </w:rPr>
        <w:t> грн, у тому числі по загальному фонду збільшити на 36</w:t>
      </w:r>
      <w:r w:rsidR="00FC4321" w:rsidRPr="006F5A3B">
        <w:rPr>
          <w:sz w:val="28"/>
          <w:szCs w:val="28"/>
          <w:lang w:val="ru-RU" w:eastAsia="en-US"/>
        </w:rPr>
        <w:t> </w:t>
      </w:r>
      <w:r w:rsidR="00FC4321" w:rsidRPr="006F5A3B">
        <w:rPr>
          <w:sz w:val="28"/>
          <w:szCs w:val="28"/>
          <w:lang w:eastAsia="en-US"/>
        </w:rPr>
        <w:t>224,7 </w:t>
      </w:r>
      <w:r w:rsidR="00FC4321" w:rsidRPr="006F5A3B">
        <w:rPr>
          <w:sz w:val="28"/>
          <w:szCs w:val="28"/>
          <w:lang w:eastAsia="uk-UA"/>
        </w:rPr>
        <w:t>млн</w:t>
      </w:r>
      <w:r w:rsidR="00FC4321" w:rsidRPr="006F5A3B">
        <w:rPr>
          <w:sz w:val="28"/>
          <w:szCs w:val="28"/>
          <w:lang w:eastAsia="en-US"/>
        </w:rPr>
        <w:t> грн, а по спеціальному фонду збільшити на 49,2 </w:t>
      </w:r>
      <w:r w:rsidR="00FC4321" w:rsidRPr="006F5A3B">
        <w:rPr>
          <w:sz w:val="28"/>
          <w:szCs w:val="28"/>
          <w:lang w:eastAsia="uk-UA"/>
        </w:rPr>
        <w:t>млн</w:t>
      </w:r>
      <w:r w:rsidR="00FC4321" w:rsidRPr="006F5A3B">
        <w:rPr>
          <w:sz w:val="28"/>
          <w:szCs w:val="28"/>
          <w:lang w:eastAsia="en-US"/>
        </w:rPr>
        <w:t> гривень.</w:t>
      </w:r>
    </w:p>
    <w:p w14:paraId="1599DB8F" w14:textId="77777777" w:rsidR="00E33D1A" w:rsidRPr="00E33D1A" w:rsidRDefault="00E33D1A" w:rsidP="00E33D1A">
      <w:pPr>
        <w:spacing w:before="60"/>
        <w:ind w:firstLine="567"/>
        <w:jc w:val="both"/>
        <w:rPr>
          <w:sz w:val="28"/>
          <w:szCs w:val="28"/>
          <w:lang w:eastAsia="uk-UA"/>
        </w:rPr>
      </w:pPr>
      <w:r w:rsidRPr="00E33D1A">
        <w:rPr>
          <w:sz w:val="28"/>
          <w:szCs w:val="28"/>
          <w:lang w:eastAsia="uk-UA"/>
        </w:rPr>
        <w:t>Із врахуванням пропозицій, наведених у Бюджетних висновках Верховної Ради України</w:t>
      </w:r>
      <w:r>
        <w:rPr>
          <w:sz w:val="28"/>
          <w:szCs w:val="28"/>
          <w:lang w:eastAsia="uk-UA"/>
        </w:rPr>
        <w:t xml:space="preserve"> </w:t>
      </w:r>
      <w:r w:rsidRPr="00E33D1A">
        <w:rPr>
          <w:sz w:val="28"/>
          <w:szCs w:val="28"/>
          <w:lang w:eastAsia="uk-UA"/>
        </w:rPr>
        <w:t xml:space="preserve">стосовно </w:t>
      </w:r>
      <w:r>
        <w:rPr>
          <w:sz w:val="28"/>
          <w:szCs w:val="28"/>
          <w:lang w:eastAsia="uk-UA"/>
        </w:rPr>
        <w:t xml:space="preserve">зупинення на 2024 рік дії </w:t>
      </w:r>
      <w:hyperlink r:id="rId8" w:anchor="n1540" w:tgtFrame="_blank" w:history="1">
        <w:r w:rsidRPr="00E33D1A">
          <w:rPr>
            <w:sz w:val="28"/>
            <w:szCs w:val="28"/>
            <w:lang w:eastAsia="uk-UA"/>
          </w:rPr>
          <w:t>статей 98</w:t>
        </w:r>
      </w:hyperlink>
      <w:r>
        <w:rPr>
          <w:sz w:val="28"/>
          <w:szCs w:val="28"/>
          <w:lang w:eastAsia="uk-UA"/>
        </w:rPr>
        <w:t xml:space="preserve"> і </w:t>
      </w:r>
      <w:hyperlink r:id="rId9" w:anchor="n1565" w:tgtFrame="_blank" w:history="1">
        <w:r w:rsidRPr="00E33D1A">
          <w:rPr>
            <w:sz w:val="28"/>
            <w:szCs w:val="28"/>
            <w:lang w:eastAsia="uk-UA"/>
          </w:rPr>
          <w:t>99</w:t>
        </w:r>
      </w:hyperlink>
      <w:r>
        <w:rPr>
          <w:sz w:val="28"/>
          <w:szCs w:val="28"/>
          <w:lang w:eastAsia="uk-UA"/>
        </w:rPr>
        <w:t xml:space="preserve"> </w:t>
      </w:r>
      <w:r w:rsidRPr="00E33D1A">
        <w:rPr>
          <w:sz w:val="28"/>
          <w:szCs w:val="28"/>
          <w:lang w:eastAsia="uk-UA"/>
        </w:rPr>
        <w:t xml:space="preserve">Бюджетного кодексу України щодо передачі реверсної дотації з місцевих бюджетів до державного бюджету в обсязі </w:t>
      </w:r>
      <w:r>
        <w:rPr>
          <w:sz w:val="28"/>
          <w:szCs w:val="28"/>
          <w:lang w:eastAsia="uk-UA"/>
        </w:rPr>
        <w:t>14 </w:t>
      </w:r>
      <w:r w:rsidRPr="00E33D1A">
        <w:rPr>
          <w:sz w:val="28"/>
          <w:szCs w:val="28"/>
          <w:lang w:eastAsia="uk-UA"/>
        </w:rPr>
        <w:t xml:space="preserve">093,1 млн грн, дохідна частина державного бюджету збільшиться, порівняно з </w:t>
      </w:r>
      <w:r>
        <w:rPr>
          <w:sz w:val="28"/>
          <w:szCs w:val="28"/>
          <w:lang w:eastAsia="uk-UA"/>
        </w:rPr>
        <w:t>першим</w:t>
      </w:r>
      <w:r w:rsidRPr="00E33D1A">
        <w:rPr>
          <w:sz w:val="28"/>
          <w:szCs w:val="28"/>
          <w:lang w:eastAsia="uk-UA"/>
        </w:rPr>
        <w:t xml:space="preserve"> читанням, на </w:t>
      </w:r>
      <w:r>
        <w:rPr>
          <w:sz w:val="28"/>
          <w:szCs w:val="28"/>
          <w:lang w:eastAsia="uk-UA"/>
        </w:rPr>
        <w:t>22 </w:t>
      </w:r>
      <w:r w:rsidRPr="00E33D1A">
        <w:rPr>
          <w:sz w:val="28"/>
          <w:szCs w:val="28"/>
          <w:lang w:eastAsia="uk-UA"/>
        </w:rPr>
        <w:t>180,8</w:t>
      </w:r>
      <w:r>
        <w:rPr>
          <w:sz w:val="28"/>
          <w:szCs w:val="28"/>
          <w:lang w:eastAsia="uk-UA"/>
        </w:rPr>
        <w:t xml:space="preserve"> млн грн, </w:t>
      </w:r>
      <w:r w:rsidRPr="00E33D1A">
        <w:rPr>
          <w:sz w:val="28"/>
          <w:szCs w:val="28"/>
          <w:lang w:eastAsia="uk-UA"/>
        </w:rPr>
        <w:t xml:space="preserve">з них по загальному фонду на </w:t>
      </w:r>
      <w:r>
        <w:rPr>
          <w:sz w:val="28"/>
          <w:szCs w:val="28"/>
          <w:lang w:eastAsia="uk-UA"/>
        </w:rPr>
        <w:t>22 </w:t>
      </w:r>
      <w:r w:rsidRPr="00E33D1A">
        <w:rPr>
          <w:sz w:val="28"/>
          <w:szCs w:val="28"/>
          <w:lang w:eastAsia="uk-UA"/>
        </w:rPr>
        <w:t>131,6 млн гривень.</w:t>
      </w:r>
    </w:p>
    <w:p w14:paraId="4A88C328" w14:textId="77777777" w:rsidR="00FC4321" w:rsidRPr="006F5A3B" w:rsidRDefault="00FC4321" w:rsidP="00FC4321">
      <w:pPr>
        <w:spacing w:before="120"/>
        <w:ind w:firstLine="567"/>
        <w:jc w:val="both"/>
        <w:rPr>
          <w:sz w:val="28"/>
          <w:szCs w:val="28"/>
          <w:lang w:eastAsia="en-US"/>
        </w:rPr>
      </w:pPr>
      <w:r w:rsidRPr="006F5A3B">
        <w:rPr>
          <w:sz w:val="28"/>
          <w:szCs w:val="28"/>
          <w:lang w:eastAsia="en-US"/>
        </w:rPr>
        <w:t xml:space="preserve">Основними факторами, які вплинули на перегляд прогнозу доходів загального фонду державного бюджету до </w:t>
      </w:r>
      <w:r w:rsidR="00A25DFF" w:rsidRPr="006F5A3B">
        <w:rPr>
          <w:sz w:val="28"/>
          <w:szCs w:val="28"/>
          <w:lang w:eastAsia="en-US"/>
        </w:rPr>
        <w:t>другого</w:t>
      </w:r>
      <w:r w:rsidRPr="006F5A3B">
        <w:rPr>
          <w:sz w:val="28"/>
          <w:szCs w:val="28"/>
          <w:lang w:eastAsia="en-US"/>
        </w:rPr>
        <w:t xml:space="preserve"> читання є:</w:t>
      </w:r>
    </w:p>
    <w:p w14:paraId="7BB3B6EF" w14:textId="77777777" w:rsidR="00FC4321" w:rsidRPr="006F5A3B" w:rsidRDefault="00FC4321" w:rsidP="00FC4321">
      <w:pPr>
        <w:numPr>
          <w:ilvl w:val="0"/>
          <w:numId w:val="30"/>
        </w:numPr>
        <w:tabs>
          <w:tab w:val="left" w:pos="851"/>
        </w:tabs>
        <w:spacing w:before="120"/>
        <w:ind w:left="0" w:firstLine="567"/>
        <w:jc w:val="both"/>
        <w:rPr>
          <w:sz w:val="28"/>
          <w:szCs w:val="28"/>
          <w:lang w:eastAsia="en-US"/>
        </w:rPr>
      </w:pPr>
      <w:r w:rsidRPr="006F5A3B">
        <w:rPr>
          <w:sz w:val="28"/>
          <w:szCs w:val="28"/>
          <w:lang w:eastAsia="en-US"/>
        </w:rPr>
        <w:t>врахування пропозицій, наведених у Бюджетних висновках Верховної Ради України</w:t>
      </w:r>
      <w:r w:rsidRPr="006F5A3B">
        <w:rPr>
          <w:sz w:val="28"/>
          <w:szCs w:val="28"/>
        </w:rPr>
        <w:t xml:space="preserve"> стосовно: </w:t>
      </w:r>
    </w:p>
    <w:p w14:paraId="387DF41F" w14:textId="77777777" w:rsidR="00FC4321" w:rsidRPr="006F5A3B" w:rsidRDefault="00FC4321" w:rsidP="00BF4DBA">
      <w:pPr>
        <w:numPr>
          <w:ilvl w:val="0"/>
          <w:numId w:val="42"/>
        </w:numPr>
        <w:tabs>
          <w:tab w:val="left" w:pos="851"/>
        </w:tabs>
        <w:spacing w:before="120"/>
        <w:ind w:left="0" w:firstLine="567"/>
        <w:jc w:val="both"/>
        <w:rPr>
          <w:sz w:val="28"/>
          <w:szCs w:val="28"/>
          <w:lang w:eastAsia="en-US"/>
        </w:rPr>
      </w:pPr>
      <w:r w:rsidRPr="006F5A3B">
        <w:rPr>
          <w:sz w:val="28"/>
          <w:szCs w:val="28"/>
        </w:rPr>
        <w:lastRenderedPageBreak/>
        <w:t xml:space="preserve">врахування норм проекту Закону України «Про внесення зміни до підрозділу 4 розділу </w:t>
      </w:r>
      <w:r w:rsidRPr="006F5A3B">
        <w:rPr>
          <w:sz w:val="28"/>
          <w:szCs w:val="28"/>
          <w:lang w:val="ru-RU"/>
        </w:rPr>
        <w:t>XX</w:t>
      </w:r>
      <w:r w:rsidRPr="006F5A3B">
        <w:rPr>
          <w:sz w:val="28"/>
          <w:szCs w:val="28"/>
        </w:rPr>
        <w:t xml:space="preserve"> "Перехідні положення" Податкового кодексу України щодо особливостей оподаткування банків» (реєст</w:t>
      </w:r>
      <w:r w:rsidR="00194A15">
        <w:rPr>
          <w:sz w:val="28"/>
          <w:szCs w:val="28"/>
        </w:rPr>
        <w:t>р</w:t>
      </w:r>
      <w:r w:rsidRPr="006F5A3B">
        <w:rPr>
          <w:sz w:val="28"/>
          <w:szCs w:val="28"/>
        </w:rPr>
        <w:t>. № 9656-д від 29.09.2023)</w:t>
      </w:r>
      <w:r w:rsidRPr="006F5A3B">
        <w:rPr>
          <w:sz w:val="28"/>
          <w:szCs w:val="28"/>
          <w:lang w:eastAsia="en-US"/>
        </w:rPr>
        <w:t xml:space="preserve"> – збільшення податку на прибуток підприємств на 9</w:t>
      </w:r>
      <w:r w:rsidRPr="006F5A3B">
        <w:rPr>
          <w:sz w:val="28"/>
          <w:szCs w:val="28"/>
          <w:lang w:val="ru-RU" w:eastAsia="en-US"/>
        </w:rPr>
        <w:t> </w:t>
      </w:r>
      <w:r w:rsidR="00A25DFF" w:rsidRPr="006F5A3B">
        <w:rPr>
          <w:sz w:val="28"/>
          <w:szCs w:val="28"/>
          <w:lang w:eastAsia="en-US"/>
        </w:rPr>
        <w:t>900</w:t>
      </w:r>
      <w:r w:rsidRPr="006F5A3B">
        <w:rPr>
          <w:sz w:val="28"/>
          <w:szCs w:val="28"/>
          <w:lang w:eastAsia="en-US"/>
        </w:rPr>
        <w:t xml:space="preserve"> млн грн;</w:t>
      </w:r>
    </w:p>
    <w:p w14:paraId="530B287F" w14:textId="77777777" w:rsidR="00FC4321" w:rsidRPr="006F5A3B" w:rsidRDefault="00FC4321" w:rsidP="00BF4DBA">
      <w:pPr>
        <w:numPr>
          <w:ilvl w:val="0"/>
          <w:numId w:val="42"/>
        </w:numPr>
        <w:tabs>
          <w:tab w:val="left" w:pos="851"/>
        </w:tabs>
        <w:spacing w:before="120"/>
        <w:ind w:left="0" w:firstLine="567"/>
        <w:jc w:val="both"/>
        <w:rPr>
          <w:sz w:val="28"/>
          <w:szCs w:val="28"/>
          <w:lang w:eastAsia="en-US"/>
        </w:rPr>
      </w:pPr>
      <w:r w:rsidRPr="006F5A3B">
        <w:rPr>
          <w:sz w:val="28"/>
          <w:szCs w:val="28"/>
        </w:rPr>
        <w:t>спрямування 4 відсотків податку (крім податку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 державного бюджету до місцевих бюджетів – зменшення податку та збору на доходи фізичних осіб на 12</w:t>
      </w:r>
      <w:r w:rsidRPr="006F5A3B">
        <w:rPr>
          <w:sz w:val="28"/>
          <w:szCs w:val="28"/>
          <w:lang w:val="ru-RU"/>
        </w:rPr>
        <w:t> </w:t>
      </w:r>
      <w:r w:rsidR="00A25DFF" w:rsidRPr="006F5A3B">
        <w:rPr>
          <w:sz w:val="28"/>
          <w:szCs w:val="28"/>
        </w:rPr>
        <w:t>297</w:t>
      </w:r>
      <w:r w:rsidRPr="006F5A3B">
        <w:rPr>
          <w:sz w:val="28"/>
          <w:szCs w:val="28"/>
        </w:rPr>
        <w:t xml:space="preserve"> млн гр</w:t>
      </w:r>
      <w:r w:rsidR="00A25DFF" w:rsidRPr="006F5A3B">
        <w:rPr>
          <w:sz w:val="28"/>
          <w:szCs w:val="28"/>
        </w:rPr>
        <w:t>иве</w:t>
      </w:r>
      <w:r w:rsidRPr="006F5A3B">
        <w:rPr>
          <w:sz w:val="28"/>
          <w:szCs w:val="28"/>
        </w:rPr>
        <w:t>н</w:t>
      </w:r>
      <w:r w:rsidR="00A25DFF" w:rsidRPr="006F5A3B">
        <w:rPr>
          <w:sz w:val="28"/>
          <w:szCs w:val="28"/>
        </w:rPr>
        <w:t>ь</w:t>
      </w:r>
      <w:r w:rsidRPr="006F5A3B">
        <w:rPr>
          <w:sz w:val="28"/>
          <w:szCs w:val="28"/>
        </w:rPr>
        <w:t>.</w:t>
      </w:r>
    </w:p>
    <w:p w14:paraId="6E1D64CE" w14:textId="77777777" w:rsidR="00FC4321" w:rsidRPr="006F5A3B" w:rsidRDefault="00FC4321" w:rsidP="00FC4321">
      <w:pPr>
        <w:numPr>
          <w:ilvl w:val="0"/>
          <w:numId w:val="30"/>
        </w:numPr>
        <w:tabs>
          <w:tab w:val="left" w:pos="851"/>
        </w:tabs>
        <w:spacing w:before="120"/>
        <w:ind w:left="0" w:firstLine="567"/>
        <w:jc w:val="both"/>
        <w:rPr>
          <w:sz w:val="28"/>
          <w:szCs w:val="28"/>
          <w:lang w:eastAsia="en-US"/>
        </w:rPr>
      </w:pPr>
      <w:r w:rsidRPr="006F5A3B">
        <w:rPr>
          <w:sz w:val="28"/>
          <w:szCs w:val="28"/>
        </w:rPr>
        <w:t xml:space="preserve">уточнення макроекономічних показників економічного та соціального розвитку України, зокрема, по основних </w:t>
      </w:r>
      <w:proofErr w:type="spellStart"/>
      <w:r w:rsidRPr="006F5A3B">
        <w:rPr>
          <w:sz w:val="28"/>
          <w:szCs w:val="28"/>
        </w:rPr>
        <w:t>бюджетоформуючих</w:t>
      </w:r>
      <w:proofErr w:type="spellEnd"/>
      <w:r w:rsidRPr="006F5A3B">
        <w:rPr>
          <w:sz w:val="28"/>
          <w:szCs w:val="28"/>
        </w:rPr>
        <w:t xml:space="preserve"> джерелах:</w:t>
      </w:r>
      <w:r w:rsidRPr="006F5A3B">
        <w:rPr>
          <w:sz w:val="28"/>
          <w:szCs w:val="28"/>
          <w:lang w:eastAsia="en-US"/>
        </w:rPr>
        <w:t xml:space="preserve"> </w:t>
      </w:r>
    </w:p>
    <w:p w14:paraId="78B1166A" w14:textId="77777777" w:rsidR="00FC4321" w:rsidRPr="00E33D1A" w:rsidRDefault="00FC4321" w:rsidP="00A25DFF">
      <w:pPr>
        <w:tabs>
          <w:tab w:val="left" w:pos="851"/>
        </w:tabs>
        <w:spacing w:before="120"/>
        <w:ind w:left="567" w:firstLine="709"/>
        <w:jc w:val="both"/>
        <w:rPr>
          <w:b/>
          <w:sz w:val="28"/>
          <w:szCs w:val="28"/>
        </w:rPr>
      </w:pPr>
      <w:r w:rsidRPr="00E33D1A">
        <w:rPr>
          <w:b/>
          <w:sz w:val="28"/>
          <w:szCs w:val="28"/>
        </w:rPr>
        <w:t>в сторону збільшення</w:t>
      </w:r>
      <w:r w:rsidR="00A25DFF" w:rsidRPr="00E33D1A">
        <w:rPr>
          <w:b/>
          <w:sz w:val="28"/>
          <w:szCs w:val="28"/>
        </w:rPr>
        <w:t xml:space="preserve"> на:</w:t>
      </w:r>
    </w:p>
    <w:p w14:paraId="3CB5C9C8" w14:textId="77777777" w:rsidR="00FC4321" w:rsidRPr="006F5A3B" w:rsidRDefault="00FC4321" w:rsidP="00A25DFF">
      <w:pPr>
        <w:numPr>
          <w:ilvl w:val="0"/>
          <w:numId w:val="43"/>
        </w:numPr>
        <w:tabs>
          <w:tab w:val="left" w:pos="851"/>
        </w:tabs>
        <w:spacing w:before="60"/>
        <w:ind w:left="0" w:firstLine="567"/>
        <w:jc w:val="both"/>
        <w:rPr>
          <w:sz w:val="28"/>
          <w:szCs w:val="28"/>
          <w:lang w:eastAsia="en-US"/>
        </w:rPr>
      </w:pPr>
      <w:r w:rsidRPr="006F5A3B">
        <w:rPr>
          <w:sz w:val="28"/>
          <w:szCs w:val="28"/>
        </w:rPr>
        <w:t>податок на прибуток підприємств</w:t>
      </w:r>
      <w:r w:rsidRPr="006F5A3B">
        <w:rPr>
          <w:sz w:val="28"/>
          <w:szCs w:val="28"/>
          <w:lang w:eastAsia="en-US"/>
        </w:rPr>
        <w:t xml:space="preserve"> </w:t>
      </w:r>
      <w:r w:rsidR="00A95395" w:rsidRPr="006F5A3B">
        <w:rPr>
          <w:sz w:val="28"/>
          <w:szCs w:val="28"/>
          <w:lang w:eastAsia="uk-UA"/>
        </w:rPr>
        <w:t>–</w:t>
      </w:r>
      <w:r w:rsidR="00A25DFF" w:rsidRPr="006F5A3B">
        <w:rPr>
          <w:sz w:val="28"/>
          <w:szCs w:val="28"/>
          <w:lang w:eastAsia="en-US"/>
        </w:rPr>
        <w:t xml:space="preserve"> 300</w:t>
      </w:r>
      <w:r w:rsidRPr="006F5A3B">
        <w:rPr>
          <w:sz w:val="28"/>
          <w:szCs w:val="28"/>
          <w:lang w:eastAsia="en-US"/>
        </w:rPr>
        <w:t xml:space="preserve"> млн грн;</w:t>
      </w:r>
    </w:p>
    <w:p w14:paraId="250ADF71" w14:textId="77777777" w:rsidR="00FC4321" w:rsidRPr="006F5A3B" w:rsidRDefault="00FC4321" w:rsidP="00A25DFF">
      <w:pPr>
        <w:numPr>
          <w:ilvl w:val="0"/>
          <w:numId w:val="43"/>
        </w:numPr>
        <w:tabs>
          <w:tab w:val="left" w:pos="851"/>
        </w:tabs>
        <w:spacing w:before="60"/>
        <w:ind w:left="0" w:firstLine="567"/>
        <w:jc w:val="both"/>
        <w:rPr>
          <w:sz w:val="28"/>
          <w:szCs w:val="28"/>
          <w:lang w:eastAsia="en-US"/>
        </w:rPr>
      </w:pPr>
      <w:r w:rsidRPr="006F5A3B">
        <w:rPr>
          <w:sz w:val="28"/>
          <w:szCs w:val="28"/>
        </w:rPr>
        <w:t>рентна плата за користування надрами для видобування природного газу</w:t>
      </w:r>
      <w:r w:rsidRPr="006F5A3B">
        <w:rPr>
          <w:sz w:val="28"/>
          <w:szCs w:val="28"/>
          <w:lang w:eastAsia="en-US"/>
        </w:rPr>
        <w:t xml:space="preserve"> </w:t>
      </w:r>
      <w:r w:rsidR="00A95395" w:rsidRPr="006F5A3B">
        <w:rPr>
          <w:sz w:val="28"/>
          <w:szCs w:val="28"/>
          <w:lang w:eastAsia="uk-UA"/>
        </w:rPr>
        <w:t>–</w:t>
      </w:r>
      <w:r w:rsidRPr="006F5A3B">
        <w:rPr>
          <w:sz w:val="28"/>
          <w:szCs w:val="28"/>
          <w:lang w:eastAsia="en-US"/>
        </w:rPr>
        <w:t xml:space="preserve"> 3</w:t>
      </w:r>
      <w:r w:rsidRPr="006F5A3B">
        <w:rPr>
          <w:sz w:val="28"/>
          <w:szCs w:val="28"/>
          <w:lang w:val="ru-RU" w:eastAsia="en-US"/>
        </w:rPr>
        <w:t> </w:t>
      </w:r>
      <w:r w:rsidRPr="006F5A3B">
        <w:rPr>
          <w:sz w:val="28"/>
          <w:szCs w:val="28"/>
          <w:lang w:eastAsia="en-US"/>
        </w:rPr>
        <w:t>620,1 млн грн;</w:t>
      </w:r>
    </w:p>
    <w:p w14:paraId="2D2AA71A" w14:textId="77777777" w:rsidR="00FC4321" w:rsidRPr="006F5A3B" w:rsidRDefault="00FC4321" w:rsidP="00A25DFF">
      <w:pPr>
        <w:numPr>
          <w:ilvl w:val="0"/>
          <w:numId w:val="43"/>
        </w:numPr>
        <w:tabs>
          <w:tab w:val="left" w:pos="851"/>
        </w:tabs>
        <w:spacing w:before="60"/>
        <w:ind w:left="0" w:firstLine="567"/>
        <w:jc w:val="both"/>
        <w:rPr>
          <w:sz w:val="28"/>
          <w:szCs w:val="28"/>
          <w:lang w:eastAsia="en-US"/>
        </w:rPr>
      </w:pPr>
      <w:r w:rsidRPr="006F5A3B">
        <w:rPr>
          <w:sz w:val="28"/>
          <w:szCs w:val="28"/>
          <w:lang w:eastAsia="en-US"/>
        </w:rPr>
        <w:t xml:space="preserve">податок на додану вартість з ввезених на митну територію України товарів </w:t>
      </w:r>
      <w:r w:rsidR="00A95395" w:rsidRPr="006F5A3B">
        <w:rPr>
          <w:sz w:val="28"/>
          <w:szCs w:val="28"/>
          <w:lang w:eastAsia="uk-UA"/>
        </w:rPr>
        <w:t>–</w:t>
      </w:r>
      <w:r w:rsidRPr="006F5A3B">
        <w:rPr>
          <w:sz w:val="28"/>
          <w:szCs w:val="28"/>
          <w:lang w:eastAsia="en-US"/>
        </w:rPr>
        <w:t xml:space="preserve"> 43</w:t>
      </w:r>
      <w:r w:rsidRPr="006F5A3B">
        <w:rPr>
          <w:sz w:val="28"/>
          <w:szCs w:val="28"/>
          <w:lang w:val="ru-RU" w:eastAsia="en-US"/>
        </w:rPr>
        <w:t> </w:t>
      </w:r>
      <w:r w:rsidR="00A95395" w:rsidRPr="006F5A3B">
        <w:rPr>
          <w:sz w:val="28"/>
          <w:szCs w:val="28"/>
          <w:lang w:eastAsia="en-US"/>
        </w:rPr>
        <w:t>400</w:t>
      </w:r>
      <w:r w:rsidRPr="006F5A3B">
        <w:rPr>
          <w:sz w:val="28"/>
          <w:szCs w:val="28"/>
          <w:lang w:val="en-US" w:eastAsia="en-US"/>
        </w:rPr>
        <w:t> </w:t>
      </w:r>
      <w:r w:rsidRPr="006F5A3B">
        <w:rPr>
          <w:sz w:val="28"/>
          <w:szCs w:val="28"/>
          <w:lang w:eastAsia="en-US"/>
        </w:rPr>
        <w:t>млн грн;</w:t>
      </w:r>
    </w:p>
    <w:p w14:paraId="58595AFF" w14:textId="77777777" w:rsidR="00FC4321" w:rsidRPr="006F5A3B" w:rsidRDefault="00FC4321" w:rsidP="00A25DFF">
      <w:pPr>
        <w:numPr>
          <w:ilvl w:val="0"/>
          <w:numId w:val="43"/>
        </w:numPr>
        <w:tabs>
          <w:tab w:val="left" w:pos="851"/>
        </w:tabs>
        <w:spacing w:before="60"/>
        <w:ind w:left="0" w:firstLine="567"/>
        <w:jc w:val="both"/>
        <w:rPr>
          <w:sz w:val="28"/>
          <w:szCs w:val="28"/>
          <w:lang w:eastAsia="en-US"/>
        </w:rPr>
      </w:pPr>
      <w:r w:rsidRPr="006F5A3B">
        <w:rPr>
          <w:sz w:val="28"/>
          <w:szCs w:val="28"/>
          <w:lang w:eastAsia="en-US"/>
        </w:rPr>
        <w:t xml:space="preserve">ввізне мито </w:t>
      </w:r>
      <w:r w:rsidR="00A95395" w:rsidRPr="006F5A3B">
        <w:rPr>
          <w:sz w:val="28"/>
          <w:szCs w:val="28"/>
          <w:lang w:eastAsia="uk-UA"/>
        </w:rPr>
        <w:t>–</w:t>
      </w:r>
      <w:r w:rsidRPr="006F5A3B">
        <w:rPr>
          <w:sz w:val="28"/>
          <w:szCs w:val="28"/>
          <w:lang w:eastAsia="en-US"/>
        </w:rPr>
        <w:t xml:space="preserve"> 3</w:t>
      </w:r>
      <w:r w:rsidRPr="006F5A3B">
        <w:rPr>
          <w:sz w:val="28"/>
          <w:szCs w:val="28"/>
          <w:lang w:val="ru-RU" w:eastAsia="en-US"/>
        </w:rPr>
        <w:t> </w:t>
      </w:r>
      <w:r w:rsidRPr="006F5A3B">
        <w:rPr>
          <w:sz w:val="28"/>
          <w:szCs w:val="28"/>
          <w:lang w:eastAsia="en-US"/>
        </w:rPr>
        <w:t>934,4</w:t>
      </w:r>
      <w:r w:rsidRPr="006F5A3B">
        <w:rPr>
          <w:sz w:val="28"/>
          <w:szCs w:val="28"/>
          <w:lang w:val="en-US" w:eastAsia="en-US"/>
        </w:rPr>
        <w:t> </w:t>
      </w:r>
      <w:r w:rsidRPr="006F5A3B">
        <w:rPr>
          <w:sz w:val="28"/>
          <w:szCs w:val="28"/>
          <w:lang w:eastAsia="en-US"/>
        </w:rPr>
        <w:t>млн грн;</w:t>
      </w:r>
    </w:p>
    <w:p w14:paraId="7704DE92" w14:textId="77777777" w:rsidR="00FC4321" w:rsidRPr="006F5A3B" w:rsidRDefault="00FC4321" w:rsidP="00A25DFF">
      <w:pPr>
        <w:numPr>
          <w:ilvl w:val="0"/>
          <w:numId w:val="43"/>
        </w:numPr>
        <w:tabs>
          <w:tab w:val="left" w:pos="851"/>
        </w:tabs>
        <w:spacing w:before="60"/>
        <w:ind w:left="0" w:firstLine="567"/>
        <w:jc w:val="both"/>
        <w:rPr>
          <w:sz w:val="28"/>
          <w:szCs w:val="28"/>
          <w:lang w:eastAsia="en-US"/>
        </w:rPr>
      </w:pPr>
      <w:r w:rsidRPr="006F5A3B">
        <w:rPr>
          <w:sz w:val="28"/>
          <w:szCs w:val="28"/>
          <w:lang w:eastAsia="en-US"/>
        </w:rPr>
        <w:t xml:space="preserve">збір на обов’язкове державне пенсійне страхування з окремих видів господарських операцій </w:t>
      </w:r>
      <w:r w:rsidR="00A95395" w:rsidRPr="006F5A3B">
        <w:rPr>
          <w:sz w:val="28"/>
          <w:szCs w:val="28"/>
          <w:lang w:eastAsia="uk-UA"/>
        </w:rPr>
        <w:t>–</w:t>
      </w:r>
      <w:r w:rsidRPr="006F5A3B">
        <w:rPr>
          <w:sz w:val="28"/>
          <w:szCs w:val="28"/>
          <w:lang w:eastAsia="en-US"/>
        </w:rPr>
        <w:t xml:space="preserve"> 353,2</w:t>
      </w:r>
      <w:r w:rsidRPr="006F5A3B">
        <w:rPr>
          <w:sz w:val="28"/>
          <w:szCs w:val="28"/>
          <w:lang w:val="en-US" w:eastAsia="en-US"/>
        </w:rPr>
        <w:t> </w:t>
      </w:r>
      <w:r w:rsidR="00A95395" w:rsidRPr="006F5A3B">
        <w:rPr>
          <w:sz w:val="28"/>
          <w:szCs w:val="28"/>
          <w:lang w:eastAsia="en-US"/>
        </w:rPr>
        <w:t>млн гривень.</w:t>
      </w:r>
    </w:p>
    <w:p w14:paraId="10DB8380" w14:textId="77777777" w:rsidR="00FC4321" w:rsidRPr="00E33D1A" w:rsidRDefault="00FC4321" w:rsidP="00A25DFF">
      <w:pPr>
        <w:tabs>
          <w:tab w:val="left" w:pos="851"/>
        </w:tabs>
        <w:spacing w:before="120"/>
        <w:ind w:left="567" w:firstLine="709"/>
        <w:jc w:val="both"/>
        <w:rPr>
          <w:b/>
          <w:sz w:val="28"/>
          <w:szCs w:val="28"/>
        </w:rPr>
      </w:pPr>
      <w:r w:rsidRPr="00E33D1A">
        <w:rPr>
          <w:b/>
          <w:sz w:val="28"/>
          <w:szCs w:val="28"/>
        </w:rPr>
        <w:t>в сторону зменшення</w:t>
      </w:r>
      <w:r w:rsidR="001304E6" w:rsidRPr="00E33D1A">
        <w:rPr>
          <w:b/>
          <w:sz w:val="28"/>
          <w:szCs w:val="28"/>
        </w:rPr>
        <w:t xml:space="preserve"> на:</w:t>
      </w:r>
    </w:p>
    <w:p w14:paraId="50506DBC" w14:textId="77777777" w:rsidR="00FC4321" w:rsidRPr="006F5A3B" w:rsidRDefault="00FC4321" w:rsidP="00A95395">
      <w:pPr>
        <w:numPr>
          <w:ilvl w:val="0"/>
          <w:numId w:val="44"/>
        </w:numPr>
        <w:tabs>
          <w:tab w:val="left" w:pos="851"/>
        </w:tabs>
        <w:spacing w:before="60"/>
        <w:ind w:left="0" w:firstLine="567"/>
        <w:jc w:val="both"/>
        <w:rPr>
          <w:sz w:val="28"/>
          <w:szCs w:val="28"/>
          <w:lang w:eastAsia="en-US"/>
        </w:rPr>
      </w:pPr>
      <w:r w:rsidRPr="006F5A3B">
        <w:rPr>
          <w:sz w:val="28"/>
          <w:szCs w:val="28"/>
        </w:rPr>
        <w:t xml:space="preserve">податок та збір на доходи фізичних осіб </w:t>
      </w:r>
      <w:r w:rsidR="001304E6" w:rsidRPr="006F5A3B">
        <w:rPr>
          <w:sz w:val="28"/>
          <w:szCs w:val="28"/>
          <w:lang w:eastAsia="uk-UA"/>
        </w:rPr>
        <w:t>–</w:t>
      </w:r>
      <w:r w:rsidR="001304E6" w:rsidRPr="006F5A3B">
        <w:rPr>
          <w:sz w:val="28"/>
          <w:szCs w:val="28"/>
        </w:rPr>
        <w:t xml:space="preserve"> 436</w:t>
      </w:r>
      <w:r w:rsidRPr="006F5A3B">
        <w:rPr>
          <w:sz w:val="28"/>
          <w:szCs w:val="28"/>
        </w:rPr>
        <w:t xml:space="preserve"> млн грн;</w:t>
      </w:r>
    </w:p>
    <w:p w14:paraId="388EB3E4" w14:textId="77777777" w:rsidR="00FC4321" w:rsidRPr="006F5A3B" w:rsidRDefault="00FC4321" w:rsidP="00A95395">
      <w:pPr>
        <w:numPr>
          <w:ilvl w:val="0"/>
          <w:numId w:val="44"/>
        </w:numPr>
        <w:tabs>
          <w:tab w:val="left" w:pos="851"/>
        </w:tabs>
        <w:spacing w:before="60"/>
        <w:ind w:left="0" w:firstLine="567"/>
        <w:jc w:val="both"/>
        <w:rPr>
          <w:sz w:val="28"/>
          <w:szCs w:val="28"/>
          <w:lang w:eastAsia="en-US"/>
        </w:rPr>
      </w:pPr>
      <w:r w:rsidRPr="006F5A3B">
        <w:rPr>
          <w:sz w:val="28"/>
          <w:szCs w:val="28"/>
        </w:rPr>
        <w:t>рентна плата за користування надрами для видобування нафти та газового конденсату</w:t>
      </w:r>
      <w:r w:rsidRPr="006F5A3B">
        <w:rPr>
          <w:sz w:val="28"/>
          <w:szCs w:val="28"/>
          <w:lang w:eastAsia="en-US"/>
        </w:rPr>
        <w:t xml:space="preserve"> </w:t>
      </w:r>
      <w:r w:rsidR="001304E6" w:rsidRPr="006F5A3B">
        <w:rPr>
          <w:sz w:val="28"/>
          <w:szCs w:val="28"/>
          <w:lang w:eastAsia="uk-UA"/>
        </w:rPr>
        <w:t>–</w:t>
      </w:r>
      <w:r w:rsidRPr="006F5A3B">
        <w:rPr>
          <w:sz w:val="28"/>
          <w:szCs w:val="28"/>
          <w:lang w:eastAsia="en-US"/>
        </w:rPr>
        <w:t xml:space="preserve"> 612,6 млн грн;</w:t>
      </w:r>
    </w:p>
    <w:p w14:paraId="55980F90" w14:textId="77777777" w:rsidR="00FC4321" w:rsidRPr="006F5A3B" w:rsidRDefault="00FC4321" w:rsidP="00A95395">
      <w:pPr>
        <w:numPr>
          <w:ilvl w:val="0"/>
          <w:numId w:val="44"/>
        </w:numPr>
        <w:tabs>
          <w:tab w:val="left" w:pos="851"/>
        </w:tabs>
        <w:spacing w:before="60"/>
        <w:ind w:left="0" w:firstLine="567"/>
        <w:jc w:val="both"/>
        <w:rPr>
          <w:sz w:val="28"/>
          <w:szCs w:val="28"/>
          <w:lang w:eastAsia="en-US"/>
        </w:rPr>
      </w:pPr>
      <w:r w:rsidRPr="006F5A3B">
        <w:rPr>
          <w:sz w:val="28"/>
          <w:szCs w:val="28"/>
          <w:lang w:eastAsia="en-US"/>
        </w:rPr>
        <w:t xml:space="preserve">акцизний податок з вироблених в Україні та з ввезених на митну територію України підакцизних товарів (продукції) </w:t>
      </w:r>
      <w:r w:rsidR="001304E6" w:rsidRPr="006F5A3B">
        <w:rPr>
          <w:sz w:val="28"/>
          <w:szCs w:val="28"/>
          <w:lang w:eastAsia="uk-UA"/>
        </w:rPr>
        <w:t>–</w:t>
      </w:r>
      <w:r w:rsidRPr="006F5A3B">
        <w:rPr>
          <w:sz w:val="28"/>
          <w:szCs w:val="28"/>
          <w:lang w:eastAsia="en-US"/>
        </w:rPr>
        <w:t xml:space="preserve"> 1</w:t>
      </w:r>
      <w:r w:rsidRPr="006F5A3B">
        <w:rPr>
          <w:sz w:val="28"/>
          <w:szCs w:val="28"/>
          <w:lang w:val="ru-RU" w:eastAsia="en-US"/>
        </w:rPr>
        <w:t> </w:t>
      </w:r>
      <w:r w:rsidRPr="006F5A3B">
        <w:rPr>
          <w:sz w:val="28"/>
          <w:szCs w:val="28"/>
          <w:lang w:eastAsia="en-US"/>
        </w:rPr>
        <w:t>748,4 млн грн;</w:t>
      </w:r>
    </w:p>
    <w:p w14:paraId="4599EA11" w14:textId="77777777" w:rsidR="00FC4321" w:rsidRPr="006F5A3B" w:rsidRDefault="00FC4321" w:rsidP="00A95395">
      <w:pPr>
        <w:numPr>
          <w:ilvl w:val="0"/>
          <w:numId w:val="44"/>
        </w:numPr>
        <w:tabs>
          <w:tab w:val="left" w:pos="851"/>
        </w:tabs>
        <w:spacing w:before="60"/>
        <w:ind w:left="0" w:firstLine="567"/>
        <w:jc w:val="both"/>
        <w:rPr>
          <w:sz w:val="28"/>
          <w:szCs w:val="28"/>
          <w:lang w:eastAsia="en-US"/>
        </w:rPr>
      </w:pPr>
      <w:r w:rsidRPr="006F5A3B">
        <w:rPr>
          <w:sz w:val="28"/>
          <w:szCs w:val="28"/>
          <w:lang w:eastAsia="en-US"/>
        </w:rPr>
        <w:t xml:space="preserve">податок на додану вартість з вироблених в Україні товарів (робіт, послуг) з урахуванням бюджетного відшкодування </w:t>
      </w:r>
      <w:r w:rsidR="001304E6" w:rsidRPr="006F5A3B">
        <w:rPr>
          <w:sz w:val="28"/>
          <w:szCs w:val="28"/>
          <w:lang w:eastAsia="uk-UA"/>
        </w:rPr>
        <w:t>–</w:t>
      </w:r>
      <w:r w:rsidRPr="006F5A3B">
        <w:rPr>
          <w:sz w:val="28"/>
          <w:szCs w:val="28"/>
          <w:lang w:eastAsia="en-US"/>
        </w:rPr>
        <w:t xml:space="preserve"> 8</w:t>
      </w:r>
      <w:r w:rsidRPr="006F5A3B">
        <w:rPr>
          <w:sz w:val="28"/>
          <w:szCs w:val="28"/>
          <w:lang w:val="ru-RU" w:eastAsia="en-US"/>
        </w:rPr>
        <w:t> </w:t>
      </w:r>
      <w:r w:rsidR="001304E6" w:rsidRPr="006F5A3B">
        <w:rPr>
          <w:sz w:val="28"/>
          <w:szCs w:val="28"/>
          <w:lang w:eastAsia="en-US"/>
        </w:rPr>
        <w:t>700</w:t>
      </w:r>
      <w:r w:rsidRPr="006F5A3B">
        <w:rPr>
          <w:sz w:val="28"/>
          <w:szCs w:val="28"/>
          <w:lang w:val="en-US" w:eastAsia="en-US"/>
        </w:rPr>
        <w:t> </w:t>
      </w:r>
      <w:r w:rsidRPr="006F5A3B">
        <w:rPr>
          <w:sz w:val="28"/>
          <w:szCs w:val="28"/>
          <w:lang w:eastAsia="en-US"/>
        </w:rPr>
        <w:t>млн грн;</w:t>
      </w:r>
    </w:p>
    <w:p w14:paraId="3CB57773" w14:textId="77777777" w:rsidR="00FC4321" w:rsidRPr="006F5A3B" w:rsidRDefault="00FC4321" w:rsidP="00A95395">
      <w:pPr>
        <w:numPr>
          <w:ilvl w:val="0"/>
          <w:numId w:val="44"/>
        </w:numPr>
        <w:tabs>
          <w:tab w:val="left" w:pos="851"/>
        </w:tabs>
        <w:spacing w:before="60"/>
        <w:ind w:left="0" w:firstLine="567"/>
        <w:jc w:val="both"/>
        <w:rPr>
          <w:sz w:val="28"/>
          <w:szCs w:val="28"/>
          <w:lang w:eastAsia="en-US"/>
        </w:rPr>
      </w:pPr>
      <w:r w:rsidRPr="006F5A3B">
        <w:rPr>
          <w:sz w:val="28"/>
          <w:szCs w:val="28"/>
          <w:lang w:eastAsia="en-US"/>
        </w:rPr>
        <w:t xml:space="preserve">вивізне мито </w:t>
      </w:r>
      <w:r w:rsidR="001304E6" w:rsidRPr="006F5A3B">
        <w:rPr>
          <w:sz w:val="28"/>
          <w:szCs w:val="28"/>
          <w:lang w:eastAsia="uk-UA"/>
        </w:rPr>
        <w:t>–</w:t>
      </w:r>
      <w:r w:rsidRPr="006F5A3B">
        <w:rPr>
          <w:sz w:val="28"/>
          <w:szCs w:val="28"/>
          <w:lang w:eastAsia="en-US"/>
        </w:rPr>
        <w:t xml:space="preserve"> 330,1 млн грн;</w:t>
      </w:r>
    </w:p>
    <w:p w14:paraId="18B4587D" w14:textId="77777777" w:rsidR="002A765B" w:rsidRPr="006F3F28" w:rsidRDefault="00FC4321" w:rsidP="006F3F28">
      <w:pPr>
        <w:numPr>
          <w:ilvl w:val="0"/>
          <w:numId w:val="44"/>
        </w:numPr>
        <w:tabs>
          <w:tab w:val="left" w:pos="851"/>
        </w:tabs>
        <w:spacing w:after="120"/>
        <w:ind w:left="0" w:firstLine="567"/>
        <w:jc w:val="both"/>
        <w:rPr>
          <w:sz w:val="28"/>
          <w:szCs w:val="28"/>
          <w:lang w:eastAsia="en-US"/>
        </w:rPr>
      </w:pPr>
      <w:r w:rsidRPr="006F5A3B">
        <w:rPr>
          <w:sz w:val="28"/>
          <w:szCs w:val="28"/>
          <w:lang w:eastAsia="en-US"/>
        </w:rPr>
        <w:t>плата за надання державних гарантій та кредитів (позик)</w:t>
      </w:r>
      <w:r w:rsidRPr="006F5A3B">
        <w:rPr>
          <w:sz w:val="28"/>
          <w:szCs w:val="28"/>
          <w:lang w:val="ru-RU"/>
        </w:rPr>
        <w:t xml:space="preserve"> </w:t>
      </w:r>
      <w:r w:rsidRPr="006F5A3B">
        <w:rPr>
          <w:sz w:val="28"/>
          <w:szCs w:val="28"/>
        </w:rPr>
        <w:t xml:space="preserve">та </w:t>
      </w:r>
      <w:r w:rsidRPr="006F5A3B">
        <w:rPr>
          <w:sz w:val="28"/>
          <w:szCs w:val="28"/>
          <w:lang w:eastAsia="en-US"/>
        </w:rPr>
        <w:t>за користування кредитами</w:t>
      </w:r>
      <w:r w:rsidR="001304E6" w:rsidRPr="006F5A3B">
        <w:rPr>
          <w:sz w:val="28"/>
          <w:szCs w:val="28"/>
          <w:lang w:eastAsia="en-US"/>
        </w:rPr>
        <w:t xml:space="preserve"> (позиками), залучених державою </w:t>
      </w:r>
      <w:r w:rsidR="001304E6" w:rsidRPr="006F5A3B">
        <w:rPr>
          <w:sz w:val="28"/>
          <w:szCs w:val="28"/>
          <w:lang w:eastAsia="uk-UA"/>
        </w:rPr>
        <w:t xml:space="preserve">– </w:t>
      </w:r>
      <w:r w:rsidRPr="006F5A3B">
        <w:rPr>
          <w:sz w:val="28"/>
          <w:szCs w:val="28"/>
          <w:lang w:eastAsia="en-US"/>
        </w:rPr>
        <w:t>1</w:t>
      </w:r>
      <w:r w:rsidRPr="006F5A3B">
        <w:rPr>
          <w:sz w:val="28"/>
          <w:szCs w:val="28"/>
          <w:lang w:val="ru-RU" w:eastAsia="en-US"/>
        </w:rPr>
        <w:t> </w:t>
      </w:r>
      <w:r w:rsidR="001304E6" w:rsidRPr="006F5A3B">
        <w:rPr>
          <w:sz w:val="28"/>
          <w:szCs w:val="28"/>
          <w:lang w:eastAsia="en-US"/>
        </w:rPr>
        <w:t>228,9 млн гривень</w:t>
      </w:r>
      <w:r w:rsidRPr="006F5A3B">
        <w:rPr>
          <w:sz w:val="28"/>
          <w:szCs w:val="28"/>
          <w:lang w:eastAsia="en-US"/>
        </w:rPr>
        <w:t>.</w:t>
      </w:r>
    </w:p>
    <w:p w14:paraId="59B3617D" w14:textId="77777777" w:rsidR="005772BA" w:rsidRPr="006F5A3B" w:rsidRDefault="00FF6142" w:rsidP="006F3F28">
      <w:pPr>
        <w:spacing w:after="120"/>
        <w:ind w:firstLine="709"/>
        <w:jc w:val="both"/>
        <w:rPr>
          <w:sz w:val="28"/>
          <w:szCs w:val="28"/>
          <w:lang w:eastAsia="uk-UA"/>
        </w:rPr>
      </w:pPr>
      <w:r w:rsidRPr="00B5364C">
        <w:rPr>
          <w:b/>
          <w:sz w:val="28"/>
          <w:szCs w:val="28"/>
        </w:rPr>
        <w:t>ІІ.</w:t>
      </w:r>
      <w:r w:rsidRPr="006F5A3B">
        <w:rPr>
          <w:sz w:val="28"/>
          <w:szCs w:val="28"/>
        </w:rPr>
        <w:t xml:space="preserve"> </w:t>
      </w:r>
      <w:r w:rsidR="005772BA" w:rsidRPr="006F5A3B">
        <w:rPr>
          <w:sz w:val="28"/>
          <w:szCs w:val="28"/>
          <w:lang w:eastAsia="uk-UA"/>
        </w:rPr>
        <w:t xml:space="preserve">Видатки </w:t>
      </w:r>
      <w:r w:rsidR="00F123BF" w:rsidRPr="006F5A3B">
        <w:rPr>
          <w:sz w:val="28"/>
          <w:szCs w:val="28"/>
          <w:lang w:eastAsia="uk-UA"/>
        </w:rPr>
        <w:t xml:space="preserve">та надання кредитів збільшено </w:t>
      </w:r>
      <w:r w:rsidR="00D2362E" w:rsidRPr="006F5A3B">
        <w:rPr>
          <w:sz w:val="28"/>
          <w:szCs w:val="28"/>
          <w:lang w:eastAsia="uk-UA"/>
        </w:rPr>
        <w:t xml:space="preserve">у законопроекті </w:t>
      </w:r>
      <w:r w:rsidR="00F123BF" w:rsidRPr="006F5A3B">
        <w:rPr>
          <w:sz w:val="28"/>
          <w:szCs w:val="28"/>
          <w:lang w:eastAsia="uk-UA"/>
        </w:rPr>
        <w:t xml:space="preserve">до другого читання у порівнянні з першим читанням на </w:t>
      </w:r>
      <w:r w:rsidR="00D57F60">
        <w:rPr>
          <w:sz w:val="28"/>
          <w:szCs w:val="28"/>
          <w:lang w:eastAsia="uk-UA"/>
        </w:rPr>
        <w:t>95</w:t>
      </w:r>
      <w:r w:rsidR="00AC50C4">
        <w:rPr>
          <w:sz w:val="28"/>
          <w:szCs w:val="28"/>
          <w:lang w:eastAsia="uk-UA"/>
        </w:rPr>
        <w:t>,</w:t>
      </w:r>
      <w:r w:rsidR="00D57F60">
        <w:rPr>
          <w:sz w:val="28"/>
          <w:szCs w:val="28"/>
          <w:lang w:eastAsia="uk-UA"/>
        </w:rPr>
        <w:t>2</w:t>
      </w:r>
      <w:r w:rsidR="00F123BF" w:rsidRPr="006F5A3B">
        <w:rPr>
          <w:sz w:val="28"/>
          <w:szCs w:val="28"/>
          <w:lang w:eastAsia="uk-UA"/>
        </w:rPr>
        <w:t xml:space="preserve"> млн грн та становлять </w:t>
      </w:r>
      <w:r w:rsidR="00D3788A" w:rsidRPr="006F5A3B">
        <w:rPr>
          <w:sz w:val="28"/>
          <w:szCs w:val="28"/>
          <w:lang w:eastAsia="uk-UA"/>
        </w:rPr>
        <w:t>3</w:t>
      </w:r>
      <w:r w:rsidR="00D57F60">
        <w:rPr>
          <w:sz w:val="28"/>
          <w:szCs w:val="28"/>
          <w:lang w:eastAsia="uk-UA"/>
        </w:rPr>
        <w:t> </w:t>
      </w:r>
      <w:r w:rsidR="00D3788A" w:rsidRPr="006F5A3B">
        <w:rPr>
          <w:sz w:val="28"/>
          <w:szCs w:val="28"/>
          <w:lang w:eastAsia="uk-UA"/>
        </w:rPr>
        <w:t>3</w:t>
      </w:r>
      <w:r w:rsidR="009D5578">
        <w:rPr>
          <w:sz w:val="28"/>
          <w:szCs w:val="28"/>
          <w:lang w:eastAsia="uk-UA"/>
        </w:rPr>
        <w:t>55</w:t>
      </w:r>
      <w:r w:rsidR="00D57F60">
        <w:rPr>
          <w:sz w:val="28"/>
          <w:szCs w:val="28"/>
          <w:lang w:eastAsia="uk-UA"/>
        </w:rPr>
        <w:t> 0</w:t>
      </w:r>
      <w:r w:rsidR="009D5578">
        <w:rPr>
          <w:sz w:val="28"/>
          <w:szCs w:val="28"/>
          <w:lang w:eastAsia="uk-UA"/>
        </w:rPr>
        <w:t>32,1</w:t>
      </w:r>
      <w:r w:rsidR="00F123BF" w:rsidRPr="006F5A3B">
        <w:rPr>
          <w:sz w:val="28"/>
          <w:szCs w:val="28"/>
          <w:lang w:eastAsia="uk-UA"/>
        </w:rPr>
        <w:t> млн грн</w:t>
      </w:r>
      <w:r w:rsidR="005772BA" w:rsidRPr="006F5A3B">
        <w:rPr>
          <w:sz w:val="28"/>
          <w:szCs w:val="28"/>
          <w:lang w:eastAsia="uk-UA"/>
        </w:rPr>
        <w:t xml:space="preserve">, у тому числі видатки загального фонду – </w:t>
      </w:r>
      <w:r w:rsidR="00D3788A" w:rsidRPr="006F5A3B">
        <w:rPr>
          <w:sz w:val="28"/>
          <w:szCs w:val="28"/>
          <w:lang w:eastAsia="uk-UA"/>
        </w:rPr>
        <w:t>3</w:t>
      </w:r>
      <w:r w:rsidR="005772BA" w:rsidRPr="006F5A3B">
        <w:rPr>
          <w:sz w:val="28"/>
          <w:szCs w:val="28"/>
          <w:lang w:eastAsia="uk-UA"/>
        </w:rPr>
        <w:t> </w:t>
      </w:r>
      <w:r w:rsidR="00D3788A" w:rsidRPr="006F5A3B">
        <w:rPr>
          <w:sz w:val="28"/>
          <w:szCs w:val="28"/>
          <w:lang w:eastAsia="uk-UA"/>
        </w:rPr>
        <w:t>1</w:t>
      </w:r>
      <w:r w:rsidR="009D5578">
        <w:rPr>
          <w:sz w:val="28"/>
          <w:szCs w:val="28"/>
          <w:lang w:eastAsia="uk-UA"/>
        </w:rPr>
        <w:t>20</w:t>
      </w:r>
      <w:r w:rsidR="00D57F60">
        <w:rPr>
          <w:sz w:val="28"/>
          <w:szCs w:val="28"/>
          <w:lang w:eastAsia="uk-UA"/>
        </w:rPr>
        <w:t> </w:t>
      </w:r>
      <w:r w:rsidR="009D5578">
        <w:rPr>
          <w:sz w:val="28"/>
          <w:szCs w:val="28"/>
          <w:lang w:eastAsia="uk-UA"/>
        </w:rPr>
        <w:t>550</w:t>
      </w:r>
      <w:r w:rsidR="00D57F60">
        <w:rPr>
          <w:sz w:val="28"/>
          <w:szCs w:val="28"/>
          <w:lang w:eastAsia="uk-UA"/>
        </w:rPr>
        <w:t>,</w:t>
      </w:r>
      <w:r w:rsidR="009D5578">
        <w:rPr>
          <w:sz w:val="28"/>
          <w:szCs w:val="28"/>
          <w:lang w:eastAsia="uk-UA"/>
        </w:rPr>
        <w:t>3</w:t>
      </w:r>
      <w:r w:rsidR="005772BA" w:rsidRPr="006F5A3B">
        <w:rPr>
          <w:sz w:val="28"/>
          <w:szCs w:val="28"/>
          <w:lang w:eastAsia="uk-UA"/>
        </w:rPr>
        <w:t xml:space="preserve"> млн грн та видатки спеціального фонду – </w:t>
      </w:r>
      <w:r w:rsidR="00D3788A" w:rsidRPr="006F5A3B">
        <w:rPr>
          <w:sz w:val="28"/>
          <w:szCs w:val="28"/>
          <w:lang w:eastAsia="uk-UA"/>
        </w:rPr>
        <w:t>2</w:t>
      </w:r>
      <w:r w:rsidR="009D5578">
        <w:rPr>
          <w:sz w:val="28"/>
          <w:szCs w:val="28"/>
          <w:lang w:eastAsia="uk-UA"/>
        </w:rPr>
        <w:t>34</w:t>
      </w:r>
      <w:r w:rsidR="00C545DE" w:rsidRPr="006F5A3B">
        <w:rPr>
          <w:sz w:val="28"/>
          <w:szCs w:val="28"/>
          <w:lang w:eastAsia="uk-UA"/>
        </w:rPr>
        <w:t> </w:t>
      </w:r>
      <w:r w:rsidR="009D5578">
        <w:rPr>
          <w:sz w:val="28"/>
          <w:szCs w:val="28"/>
          <w:lang w:eastAsia="uk-UA"/>
        </w:rPr>
        <w:t>481</w:t>
      </w:r>
      <w:r w:rsidR="00C545DE" w:rsidRPr="006F5A3B">
        <w:rPr>
          <w:sz w:val="28"/>
          <w:szCs w:val="28"/>
          <w:lang w:eastAsia="uk-UA"/>
        </w:rPr>
        <w:t>,</w:t>
      </w:r>
      <w:r w:rsidR="005664A1">
        <w:rPr>
          <w:sz w:val="28"/>
          <w:szCs w:val="28"/>
          <w:lang w:eastAsia="uk-UA"/>
        </w:rPr>
        <w:t>8</w:t>
      </w:r>
      <w:r w:rsidR="005772BA" w:rsidRPr="006F5A3B">
        <w:rPr>
          <w:sz w:val="28"/>
          <w:szCs w:val="28"/>
          <w:lang w:eastAsia="uk-UA"/>
        </w:rPr>
        <w:t> млн гривень.</w:t>
      </w:r>
    </w:p>
    <w:p w14:paraId="51AFED73" w14:textId="77777777" w:rsidR="00971D2C" w:rsidRPr="006F5A3B" w:rsidRDefault="00A21FAF" w:rsidP="00C77740">
      <w:pPr>
        <w:spacing w:after="120"/>
        <w:ind w:firstLine="567"/>
        <w:jc w:val="both"/>
        <w:rPr>
          <w:sz w:val="28"/>
          <w:szCs w:val="28"/>
        </w:rPr>
      </w:pPr>
      <w:r w:rsidRPr="006F5A3B">
        <w:rPr>
          <w:sz w:val="28"/>
          <w:szCs w:val="28"/>
        </w:rPr>
        <w:t>Д</w:t>
      </w:r>
      <w:r w:rsidR="00971D2C" w:rsidRPr="006F5A3B">
        <w:rPr>
          <w:sz w:val="28"/>
          <w:szCs w:val="28"/>
        </w:rPr>
        <w:t>ля вирішення питань, як соціального, так і е</w:t>
      </w:r>
      <w:r w:rsidR="00275337" w:rsidRPr="006F5A3B">
        <w:rPr>
          <w:sz w:val="28"/>
          <w:szCs w:val="28"/>
        </w:rPr>
        <w:t>кономічного характеру</w:t>
      </w:r>
      <w:r w:rsidR="006632D9" w:rsidRPr="006F5A3B">
        <w:rPr>
          <w:sz w:val="28"/>
          <w:szCs w:val="28"/>
        </w:rPr>
        <w:t>,</w:t>
      </w:r>
      <w:r w:rsidR="00275337" w:rsidRPr="006F5A3B">
        <w:rPr>
          <w:sz w:val="28"/>
          <w:szCs w:val="28"/>
        </w:rPr>
        <w:t xml:space="preserve"> </w:t>
      </w:r>
      <w:r w:rsidRPr="006F5A3B">
        <w:rPr>
          <w:sz w:val="28"/>
          <w:szCs w:val="28"/>
        </w:rPr>
        <w:t xml:space="preserve">передбачено збільшення видатків державного бюджету, </w:t>
      </w:r>
      <w:r w:rsidR="00275337" w:rsidRPr="006F5A3B">
        <w:rPr>
          <w:sz w:val="28"/>
          <w:szCs w:val="28"/>
        </w:rPr>
        <w:t>зокрема</w:t>
      </w:r>
      <w:r w:rsidR="000005C3" w:rsidRPr="006F5A3B">
        <w:rPr>
          <w:sz w:val="28"/>
          <w:szCs w:val="28"/>
        </w:rPr>
        <w:t xml:space="preserve"> на</w:t>
      </w:r>
      <w:r w:rsidR="00275337" w:rsidRPr="006F5A3B">
        <w:rPr>
          <w:sz w:val="28"/>
          <w:szCs w:val="28"/>
        </w:rPr>
        <w:t>:</w:t>
      </w:r>
    </w:p>
    <w:p w14:paraId="653523F9" w14:textId="77777777" w:rsidR="00985091" w:rsidRDefault="00985091" w:rsidP="00C77740">
      <w:pPr>
        <w:pStyle w:val="a5"/>
        <w:spacing w:after="120"/>
        <w:ind w:left="0" w:firstLine="567"/>
        <w:jc w:val="both"/>
        <w:rPr>
          <w:sz w:val="28"/>
          <w:szCs w:val="28"/>
          <w:shd w:val="clear" w:color="auto" w:fill="FFFFFF"/>
        </w:rPr>
      </w:pPr>
      <w:r w:rsidRPr="006F5A3B">
        <w:rPr>
          <w:sz w:val="28"/>
          <w:szCs w:val="28"/>
          <w:shd w:val="clear" w:color="auto" w:fill="FFFFFF"/>
        </w:rPr>
        <w:t xml:space="preserve">забезпечення окремих категорій громадян, які втратили функціональні можливості кінцівки або кінцівок, протезуванням та </w:t>
      </w:r>
      <w:proofErr w:type="spellStart"/>
      <w:r w:rsidRPr="006F5A3B">
        <w:rPr>
          <w:sz w:val="28"/>
          <w:szCs w:val="28"/>
          <w:shd w:val="clear" w:color="auto" w:fill="FFFFFF"/>
        </w:rPr>
        <w:t>ортезуванням</w:t>
      </w:r>
      <w:proofErr w:type="spellEnd"/>
      <w:r w:rsidRPr="006F5A3B">
        <w:rPr>
          <w:sz w:val="28"/>
          <w:szCs w:val="28"/>
          <w:shd w:val="clear" w:color="auto" w:fill="FFFFFF"/>
        </w:rPr>
        <w:t xml:space="preserve"> виробами підвищеної функціональності за новітніми технологіями та технологіями </w:t>
      </w:r>
      <w:r w:rsidRPr="006F5A3B">
        <w:rPr>
          <w:sz w:val="28"/>
          <w:szCs w:val="28"/>
          <w:shd w:val="clear" w:color="auto" w:fill="FFFFFF"/>
        </w:rPr>
        <w:lastRenderedPageBreak/>
        <w:t xml:space="preserve">виготовлення, які відсутні в Україні, за КПКВК </w:t>
      </w:r>
      <w:r w:rsidRPr="006F5A3B">
        <w:rPr>
          <w:bCs/>
          <w:color w:val="000000"/>
          <w:sz w:val="28"/>
          <w:szCs w:val="28"/>
          <w:shd w:val="clear" w:color="auto" w:fill="FFFFFF"/>
        </w:rPr>
        <w:t>2507110 «</w:t>
      </w:r>
      <w:r w:rsidRPr="006F5A3B">
        <w:rPr>
          <w:sz w:val="28"/>
          <w:szCs w:val="28"/>
          <w:shd w:val="clear" w:color="auto" w:fill="FFFFFF"/>
        </w:rPr>
        <w:t>Соціальний захист осіб з інвалідністю</w:t>
      </w:r>
      <w:r w:rsidRPr="006F5A3B">
        <w:rPr>
          <w:bCs/>
          <w:color w:val="000000"/>
          <w:sz w:val="28"/>
          <w:szCs w:val="28"/>
          <w:shd w:val="clear" w:color="auto" w:fill="FFFFFF"/>
        </w:rPr>
        <w:t>»</w:t>
      </w:r>
      <w:r w:rsidRPr="006F5A3B">
        <w:rPr>
          <w:sz w:val="28"/>
          <w:szCs w:val="28"/>
          <w:shd w:val="clear" w:color="auto" w:fill="FFFFFF"/>
        </w:rPr>
        <w:t xml:space="preserve"> </w:t>
      </w:r>
      <w:r w:rsidRPr="006F5A3B">
        <w:rPr>
          <w:rFonts w:eastAsia="Calibri"/>
          <w:sz w:val="28"/>
          <w:szCs w:val="28"/>
          <w:lang w:eastAsia="en-US"/>
        </w:rPr>
        <w:t xml:space="preserve">– </w:t>
      </w:r>
      <w:r w:rsidRPr="006F5A3B">
        <w:rPr>
          <w:sz w:val="28"/>
          <w:szCs w:val="28"/>
          <w:shd w:val="clear" w:color="auto" w:fill="FFFFFF"/>
        </w:rPr>
        <w:t>573,9 млн грн;</w:t>
      </w:r>
    </w:p>
    <w:p w14:paraId="42B2076F" w14:textId="77777777" w:rsidR="006214A0" w:rsidRDefault="006214A0" w:rsidP="006214A0">
      <w:pPr>
        <w:tabs>
          <w:tab w:val="left" w:pos="4"/>
          <w:tab w:val="left" w:pos="851"/>
        </w:tabs>
        <w:spacing w:before="120" w:after="120"/>
        <w:ind w:firstLine="567"/>
        <w:jc w:val="both"/>
        <w:rPr>
          <w:sz w:val="28"/>
          <w:szCs w:val="28"/>
        </w:rPr>
      </w:pPr>
      <w:r w:rsidRPr="008D1B5F">
        <w:rPr>
          <w:bCs/>
          <w:sz w:val="28"/>
          <w:szCs w:val="28"/>
        </w:rPr>
        <w:t xml:space="preserve">забезпечення </w:t>
      </w:r>
      <w:r>
        <w:rPr>
          <w:bCs/>
          <w:sz w:val="28"/>
          <w:szCs w:val="28"/>
        </w:rPr>
        <w:t>стовідсоткової</w:t>
      </w:r>
      <w:r w:rsidRPr="008D1B5F">
        <w:rPr>
          <w:bCs/>
          <w:sz w:val="28"/>
          <w:szCs w:val="28"/>
        </w:rPr>
        <w:t xml:space="preserve"> сплати</w:t>
      </w:r>
      <w:r w:rsidRPr="008D1B5F">
        <w:rPr>
          <w:sz w:val="28"/>
          <w:szCs w:val="28"/>
        </w:rPr>
        <w:t xml:space="preserve"> Пенсійному фонду України фактичних витрат на виплату і доставку пенсійних виплат особам, яким пенсія призначена на пільгових умовах</w:t>
      </w:r>
      <w:r>
        <w:rPr>
          <w:sz w:val="28"/>
          <w:szCs w:val="28"/>
        </w:rPr>
        <w:t>,</w:t>
      </w:r>
      <w:r w:rsidRPr="008D1B5F">
        <w:rPr>
          <w:sz w:val="28"/>
          <w:szCs w:val="28"/>
        </w:rPr>
        <w:t xml:space="preserve"> за КПКВК 2708120 «Підтримка у безпечному стані блоків та об’єкта «Укриття» та заходи щодо зняття з експлуатації Чорнобильської АЕС» </w:t>
      </w:r>
      <w:r w:rsidRPr="008D1B5F">
        <w:rPr>
          <w:rFonts w:eastAsia="Calibri"/>
          <w:sz w:val="28"/>
          <w:szCs w:val="28"/>
          <w:lang w:eastAsia="en-US"/>
        </w:rPr>
        <w:t xml:space="preserve">– </w:t>
      </w:r>
      <w:r w:rsidRPr="008D1B5F">
        <w:rPr>
          <w:sz w:val="28"/>
          <w:szCs w:val="28"/>
        </w:rPr>
        <w:t>150,1  млн грн</w:t>
      </w:r>
      <w:r>
        <w:rPr>
          <w:sz w:val="28"/>
          <w:szCs w:val="28"/>
        </w:rPr>
        <w:t>;</w:t>
      </w:r>
    </w:p>
    <w:p w14:paraId="42D41074" w14:textId="77777777" w:rsidR="00145235" w:rsidRPr="006214A0" w:rsidRDefault="00145235" w:rsidP="00145235">
      <w:pPr>
        <w:tabs>
          <w:tab w:val="left" w:pos="4"/>
          <w:tab w:val="left" w:pos="851"/>
        </w:tabs>
        <w:spacing w:before="120" w:after="120"/>
        <w:ind w:firstLine="567"/>
        <w:jc w:val="both"/>
        <w:rPr>
          <w:sz w:val="28"/>
          <w:szCs w:val="28"/>
        </w:rPr>
      </w:pPr>
      <w:r w:rsidRPr="00145235">
        <w:rPr>
          <w:sz w:val="28"/>
          <w:szCs w:val="28"/>
        </w:rPr>
        <w:t>проведення спортивних заходів</w:t>
      </w:r>
      <w:r>
        <w:rPr>
          <w:sz w:val="28"/>
          <w:szCs w:val="28"/>
        </w:rPr>
        <w:t xml:space="preserve"> </w:t>
      </w:r>
      <w:r w:rsidRPr="0008186B">
        <w:rPr>
          <w:sz w:val="28"/>
          <w:szCs w:val="28"/>
        </w:rPr>
        <w:t xml:space="preserve">серед учнів та студентів за КПКВК </w:t>
      </w:r>
      <w:r w:rsidRPr="00145235">
        <w:rPr>
          <w:sz w:val="28"/>
          <w:szCs w:val="28"/>
        </w:rPr>
        <w:t>2201310</w:t>
      </w:r>
      <w:r w:rsidRPr="0008186B">
        <w:rPr>
          <w:sz w:val="28"/>
          <w:szCs w:val="28"/>
        </w:rPr>
        <w:t xml:space="preserve"> «Фізична і спортивна підготовка учнівської та студентської молоді» – </w:t>
      </w:r>
      <w:r>
        <w:rPr>
          <w:sz w:val="28"/>
          <w:szCs w:val="28"/>
        </w:rPr>
        <w:t>10</w:t>
      </w:r>
      <w:r w:rsidRPr="0008186B">
        <w:rPr>
          <w:sz w:val="28"/>
          <w:szCs w:val="28"/>
        </w:rPr>
        <w:t xml:space="preserve"> млн грн; </w:t>
      </w:r>
    </w:p>
    <w:p w14:paraId="5C8817E4" w14:textId="77777777" w:rsidR="001A3C70" w:rsidRPr="001A3C70" w:rsidRDefault="001A3C70" w:rsidP="001A3C70">
      <w:pPr>
        <w:tabs>
          <w:tab w:val="left" w:pos="4"/>
          <w:tab w:val="left" w:pos="851"/>
        </w:tabs>
        <w:spacing w:before="120" w:after="120"/>
        <w:ind w:firstLine="567"/>
        <w:jc w:val="both"/>
        <w:rPr>
          <w:color w:val="00B050"/>
          <w:sz w:val="28"/>
          <w:szCs w:val="28"/>
        </w:rPr>
      </w:pPr>
      <w:r w:rsidRPr="00D65996">
        <w:rPr>
          <w:sz w:val="28"/>
          <w:szCs w:val="28"/>
        </w:rPr>
        <w:t xml:space="preserve">створення сучасної клінічної бази для лікування онкологічних захворювань у Національному інституті раку за КПКВК 2301170 «Спеціалізована медична допомога, що надається закладами охорони здоров’я наукових установ та закладів вищої освіти» </w:t>
      </w:r>
      <w:r w:rsidRPr="00415D33">
        <w:rPr>
          <w:rFonts w:eastAsia="Calibri"/>
          <w:sz w:val="28"/>
          <w:szCs w:val="28"/>
          <w:lang w:eastAsia="en-US"/>
        </w:rPr>
        <w:t>–</w:t>
      </w:r>
      <w:r>
        <w:rPr>
          <w:rFonts w:eastAsia="Calibri"/>
          <w:sz w:val="28"/>
          <w:szCs w:val="28"/>
          <w:lang w:eastAsia="en-US"/>
        </w:rPr>
        <w:t xml:space="preserve"> </w:t>
      </w:r>
      <w:r w:rsidR="009D37FD">
        <w:rPr>
          <w:sz w:val="28"/>
          <w:szCs w:val="28"/>
        </w:rPr>
        <w:t>337,7 млн грн;</w:t>
      </w:r>
    </w:p>
    <w:p w14:paraId="6C09794A" w14:textId="77777777" w:rsidR="00274E18" w:rsidRDefault="000A311F" w:rsidP="005B666A">
      <w:pPr>
        <w:tabs>
          <w:tab w:val="left" w:pos="4"/>
          <w:tab w:val="left" w:pos="851"/>
        </w:tabs>
        <w:spacing w:before="120" w:after="120"/>
        <w:ind w:firstLine="567"/>
        <w:jc w:val="both"/>
        <w:rPr>
          <w:color w:val="00B050"/>
          <w:sz w:val="28"/>
          <w:szCs w:val="28"/>
        </w:rPr>
      </w:pPr>
      <w:r w:rsidRPr="005B666A">
        <w:rPr>
          <w:rFonts w:eastAsia="Calibri"/>
          <w:sz w:val="28"/>
          <w:szCs w:val="28"/>
          <w:lang w:eastAsia="en-US"/>
        </w:rPr>
        <w:t>застосування додаткових коефіцієнтів підвищення посадових окладів працівник</w:t>
      </w:r>
      <w:r w:rsidR="005B666A" w:rsidRPr="005B666A">
        <w:rPr>
          <w:rFonts w:eastAsia="Calibri"/>
          <w:sz w:val="28"/>
          <w:szCs w:val="28"/>
          <w:lang w:eastAsia="en-US"/>
        </w:rPr>
        <w:t>ам</w:t>
      </w:r>
      <w:r w:rsidRPr="005B666A">
        <w:rPr>
          <w:rFonts w:eastAsia="Calibri"/>
          <w:sz w:val="28"/>
          <w:szCs w:val="28"/>
          <w:lang w:eastAsia="en-US"/>
        </w:rPr>
        <w:t xml:space="preserve"> Національного музею </w:t>
      </w:r>
      <w:proofErr w:type="spellStart"/>
      <w:r w:rsidRPr="005B666A">
        <w:rPr>
          <w:rFonts w:eastAsia="Calibri"/>
          <w:sz w:val="28"/>
          <w:szCs w:val="28"/>
          <w:lang w:eastAsia="en-US"/>
        </w:rPr>
        <w:t>icтopiї</w:t>
      </w:r>
      <w:proofErr w:type="spellEnd"/>
      <w:r w:rsidRPr="005B666A">
        <w:rPr>
          <w:rFonts w:eastAsia="Calibri"/>
          <w:sz w:val="28"/>
          <w:szCs w:val="28"/>
          <w:lang w:eastAsia="en-US"/>
        </w:rPr>
        <w:t xml:space="preserve"> України у Другій світовій війні. Меморіального комплексу</w:t>
      </w:r>
      <w:r w:rsidR="005B666A" w:rsidRPr="005B666A">
        <w:rPr>
          <w:rFonts w:eastAsia="Calibri"/>
          <w:sz w:val="28"/>
          <w:szCs w:val="28"/>
          <w:lang w:eastAsia="en-US"/>
        </w:rPr>
        <w:t xml:space="preserve"> </w:t>
      </w:r>
      <w:r w:rsidRPr="005B666A">
        <w:rPr>
          <w:rFonts w:eastAsia="Calibri"/>
          <w:sz w:val="28"/>
          <w:szCs w:val="28"/>
          <w:lang w:eastAsia="en-US"/>
        </w:rPr>
        <w:t xml:space="preserve">за бюджетною програмою за КПКВК 3801190 </w:t>
      </w:r>
      <w:r w:rsidR="005B666A">
        <w:rPr>
          <w:rFonts w:eastAsia="Calibri"/>
          <w:sz w:val="28"/>
          <w:szCs w:val="28"/>
          <w:lang w:eastAsia="en-US"/>
        </w:rPr>
        <w:t>«</w:t>
      </w:r>
      <w:r w:rsidRPr="005B666A">
        <w:rPr>
          <w:rFonts w:eastAsia="Calibri"/>
          <w:sz w:val="28"/>
          <w:szCs w:val="28"/>
          <w:lang w:eastAsia="en-US"/>
        </w:rPr>
        <w:t>Забезпечення діяльності національних музеїв, національних і державних бібліотек та культурно-просвітницьких центрів</w:t>
      </w:r>
      <w:r w:rsidR="005B666A">
        <w:rPr>
          <w:rFonts w:eastAsia="Calibri"/>
          <w:sz w:val="28"/>
          <w:szCs w:val="28"/>
          <w:lang w:eastAsia="en-US"/>
        </w:rPr>
        <w:t>»</w:t>
      </w:r>
      <w:r w:rsidRPr="005B666A">
        <w:rPr>
          <w:rFonts w:eastAsia="Calibri"/>
          <w:sz w:val="28"/>
          <w:szCs w:val="28"/>
          <w:lang w:eastAsia="en-US"/>
        </w:rPr>
        <w:t xml:space="preserve"> – 81,9 млн грн;</w:t>
      </w:r>
    </w:p>
    <w:p w14:paraId="427F0890" w14:textId="77777777" w:rsidR="001A3C70" w:rsidRDefault="001A3C70" w:rsidP="001A3C70">
      <w:pPr>
        <w:tabs>
          <w:tab w:val="left" w:pos="4"/>
          <w:tab w:val="left" w:pos="851"/>
        </w:tabs>
        <w:spacing w:before="120" w:after="120"/>
        <w:ind w:firstLine="567"/>
        <w:jc w:val="both"/>
        <w:rPr>
          <w:color w:val="00B050"/>
          <w:sz w:val="28"/>
          <w:szCs w:val="28"/>
        </w:rPr>
      </w:pPr>
      <w:r w:rsidRPr="005B666A">
        <w:rPr>
          <w:sz w:val="28"/>
          <w:szCs w:val="28"/>
        </w:rPr>
        <w:t xml:space="preserve">проведення пріоритетних наукових досліджень науковими установами Національної академії наук України за бюджетною програмою за КПКВК 6541030 </w:t>
      </w:r>
      <w:r>
        <w:rPr>
          <w:sz w:val="28"/>
          <w:szCs w:val="28"/>
        </w:rPr>
        <w:t>«</w:t>
      </w:r>
      <w:r w:rsidRPr="005B666A">
        <w:rPr>
          <w:sz w:val="28"/>
          <w:szCs w:val="28"/>
        </w:rPr>
        <w:t>Наукова і науково-технічна діяльність наукових установ Національної академії наук України</w:t>
      </w:r>
      <w:r>
        <w:rPr>
          <w:sz w:val="28"/>
          <w:szCs w:val="28"/>
        </w:rPr>
        <w:t>»</w:t>
      </w:r>
      <w:r w:rsidRPr="005B666A">
        <w:rPr>
          <w:sz w:val="28"/>
          <w:szCs w:val="28"/>
        </w:rPr>
        <w:t xml:space="preserve"> </w:t>
      </w:r>
      <w:r w:rsidRPr="005B666A">
        <w:rPr>
          <w:rFonts w:eastAsia="Calibri"/>
          <w:sz w:val="28"/>
          <w:szCs w:val="28"/>
          <w:lang w:eastAsia="en-US"/>
        </w:rPr>
        <w:t>–</w:t>
      </w:r>
      <w:r w:rsidRPr="005B666A">
        <w:rPr>
          <w:sz w:val="28"/>
          <w:szCs w:val="28"/>
        </w:rPr>
        <w:t xml:space="preserve"> 80 млн грн та за бюджетною програмою за КПКВК 6541230 </w:t>
      </w:r>
      <w:r>
        <w:rPr>
          <w:sz w:val="28"/>
          <w:szCs w:val="28"/>
        </w:rPr>
        <w:t>«</w:t>
      </w:r>
      <w:r w:rsidRPr="005B666A">
        <w:rPr>
          <w:sz w:val="28"/>
          <w:szCs w:val="28"/>
        </w:rPr>
        <w:t>Підтримка розвитку пріоритетних напрямів наукових досліджень</w:t>
      </w:r>
      <w:r>
        <w:rPr>
          <w:sz w:val="28"/>
          <w:szCs w:val="28"/>
        </w:rPr>
        <w:t>»</w:t>
      </w:r>
      <w:r w:rsidRPr="005B666A">
        <w:rPr>
          <w:sz w:val="28"/>
          <w:szCs w:val="28"/>
        </w:rPr>
        <w:t xml:space="preserve"> </w:t>
      </w:r>
      <w:r w:rsidRPr="005B666A">
        <w:rPr>
          <w:rFonts w:eastAsia="Calibri"/>
          <w:sz w:val="28"/>
          <w:szCs w:val="28"/>
          <w:lang w:eastAsia="en-US"/>
        </w:rPr>
        <w:t>–</w:t>
      </w:r>
      <w:r w:rsidRPr="005B666A">
        <w:rPr>
          <w:sz w:val="28"/>
          <w:szCs w:val="28"/>
        </w:rPr>
        <w:t xml:space="preserve"> 20 млн грн;</w:t>
      </w:r>
    </w:p>
    <w:p w14:paraId="1E785FBF" w14:textId="77777777" w:rsidR="001A3C70" w:rsidRDefault="001A3C70" w:rsidP="001A3C70">
      <w:pPr>
        <w:tabs>
          <w:tab w:val="left" w:pos="4"/>
          <w:tab w:val="left" w:pos="851"/>
        </w:tabs>
        <w:spacing w:before="120" w:after="120"/>
        <w:ind w:firstLine="567"/>
        <w:jc w:val="both"/>
        <w:rPr>
          <w:color w:val="00B050"/>
          <w:sz w:val="28"/>
          <w:szCs w:val="28"/>
        </w:rPr>
      </w:pPr>
      <w:r w:rsidRPr="00662D92">
        <w:rPr>
          <w:sz w:val="28"/>
          <w:szCs w:val="28"/>
        </w:rPr>
        <w:t xml:space="preserve">розвиток дослідницької інфраструктури Національної академії аграрних наук України за бюджетною програмою за КПКВК 6591060 «Наукова і науково-технічна діяльність у сфері агропромислового комплексу» </w:t>
      </w:r>
      <w:r w:rsidRPr="00662D92">
        <w:rPr>
          <w:rFonts w:eastAsia="Calibri"/>
          <w:sz w:val="28"/>
          <w:szCs w:val="28"/>
          <w:lang w:eastAsia="en-US"/>
        </w:rPr>
        <w:t>–</w:t>
      </w:r>
      <w:r w:rsidRPr="00662D92">
        <w:rPr>
          <w:sz w:val="28"/>
          <w:szCs w:val="28"/>
        </w:rPr>
        <w:t xml:space="preserve"> 35 млн грн;</w:t>
      </w:r>
    </w:p>
    <w:p w14:paraId="0AFDD74A" w14:textId="77777777" w:rsidR="001A3C70" w:rsidRDefault="001A3C70" w:rsidP="001A3C70">
      <w:pPr>
        <w:tabs>
          <w:tab w:val="left" w:pos="4"/>
          <w:tab w:val="left" w:pos="851"/>
        </w:tabs>
        <w:spacing w:before="120" w:after="120"/>
        <w:ind w:firstLine="567"/>
        <w:jc w:val="both"/>
        <w:rPr>
          <w:color w:val="00B050"/>
          <w:sz w:val="28"/>
          <w:szCs w:val="28"/>
        </w:rPr>
      </w:pPr>
      <w:r w:rsidRPr="00415D33">
        <w:rPr>
          <w:sz w:val="28"/>
          <w:szCs w:val="28"/>
        </w:rPr>
        <w:t xml:space="preserve">здійснення наукової діяльності та розвитку дослідницької інфраструктури у сфері книговидавничої справи та інформаційно-бібліографічної діяльності за бюджетною програмою за КПКВК 3802020 «Наукова і науково-технічна діяльність у сфері засобів масової інформації, книговидавничої справи та інформаційно-бібліографічної діяльності» </w:t>
      </w:r>
      <w:r w:rsidRPr="00415D33">
        <w:rPr>
          <w:rFonts w:eastAsia="Calibri"/>
          <w:sz w:val="28"/>
          <w:szCs w:val="28"/>
          <w:lang w:eastAsia="en-US"/>
        </w:rPr>
        <w:t xml:space="preserve">– </w:t>
      </w:r>
      <w:r w:rsidRPr="00415D33">
        <w:rPr>
          <w:sz w:val="28"/>
          <w:szCs w:val="28"/>
        </w:rPr>
        <w:t>15 млн грн;</w:t>
      </w:r>
    </w:p>
    <w:p w14:paraId="4738EE80" w14:textId="77777777" w:rsidR="005664B2" w:rsidRDefault="001A3C70" w:rsidP="001A3C70">
      <w:pPr>
        <w:tabs>
          <w:tab w:val="left" w:pos="4"/>
          <w:tab w:val="left" w:pos="851"/>
        </w:tabs>
        <w:spacing w:before="120" w:after="120"/>
        <w:ind w:firstLine="567"/>
        <w:jc w:val="both"/>
        <w:rPr>
          <w:color w:val="00B050"/>
          <w:sz w:val="28"/>
          <w:szCs w:val="28"/>
        </w:rPr>
      </w:pPr>
      <w:r w:rsidRPr="001F4670">
        <w:rPr>
          <w:sz w:val="28"/>
          <w:szCs w:val="28"/>
        </w:rPr>
        <w:t xml:space="preserve">здійснення перекладу на українську мову актів Європейського Союзу </w:t>
      </w:r>
      <w:proofErr w:type="spellStart"/>
      <w:r w:rsidRPr="001F4670">
        <w:rPr>
          <w:sz w:val="28"/>
          <w:szCs w:val="28"/>
        </w:rPr>
        <w:t>acquis</w:t>
      </w:r>
      <w:proofErr w:type="spellEnd"/>
      <w:r w:rsidRPr="001F4670">
        <w:rPr>
          <w:sz w:val="28"/>
          <w:szCs w:val="28"/>
        </w:rPr>
        <w:t xml:space="preserve"> </w:t>
      </w:r>
      <w:proofErr w:type="spellStart"/>
      <w:r w:rsidRPr="001F4670">
        <w:rPr>
          <w:sz w:val="28"/>
          <w:szCs w:val="28"/>
        </w:rPr>
        <w:t>communautaire</w:t>
      </w:r>
      <w:proofErr w:type="spellEnd"/>
      <w:r w:rsidRPr="001F4670">
        <w:rPr>
          <w:sz w:val="28"/>
          <w:szCs w:val="28"/>
        </w:rPr>
        <w:t xml:space="preserve">, на англійську мову актів законодавства України, а також забезпечення оновлення глосарія термінів актів Європейського Союзу </w:t>
      </w:r>
      <w:proofErr w:type="spellStart"/>
      <w:r w:rsidRPr="001F4670">
        <w:rPr>
          <w:sz w:val="28"/>
          <w:szCs w:val="28"/>
        </w:rPr>
        <w:t>acquis</w:t>
      </w:r>
      <w:proofErr w:type="spellEnd"/>
      <w:r w:rsidRPr="001F4670">
        <w:rPr>
          <w:sz w:val="28"/>
          <w:szCs w:val="28"/>
        </w:rPr>
        <w:t xml:space="preserve"> </w:t>
      </w:r>
      <w:proofErr w:type="spellStart"/>
      <w:r w:rsidRPr="001F4670">
        <w:rPr>
          <w:sz w:val="28"/>
          <w:szCs w:val="28"/>
        </w:rPr>
        <w:t>communautaire</w:t>
      </w:r>
      <w:proofErr w:type="spellEnd"/>
      <w:r w:rsidRPr="005664B2">
        <w:rPr>
          <w:sz w:val="28"/>
          <w:szCs w:val="28"/>
        </w:rPr>
        <w:t xml:space="preserve"> </w:t>
      </w:r>
      <w:r w:rsidRPr="00D65996">
        <w:rPr>
          <w:sz w:val="28"/>
          <w:szCs w:val="28"/>
        </w:rPr>
        <w:t xml:space="preserve">за КПКВК </w:t>
      </w:r>
      <w:r>
        <w:rPr>
          <w:sz w:val="28"/>
          <w:szCs w:val="28"/>
        </w:rPr>
        <w:t>0411170 «</w:t>
      </w:r>
      <w:r w:rsidRPr="001F4670">
        <w:rPr>
          <w:sz w:val="28"/>
          <w:szCs w:val="28"/>
        </w:rPr>
        <w:t>Забезпечення функціонування офісу із залучення та підтримки інвестицій</w:t>
      </w:r>
      <w:r>
        <w:rPr>
          <w:sz w:val="28"/>
          <w:szCs w:val="28"/>
        </w:rPr>
        <w:t>»</w:t>
      </w:r>
      <w:r w:rsidRPr="00D65996">
        <w:rPr>
          <w:sz w:val="28"/>
          <w:szCs w:val="28"/>
        </w:rPr>
        <w:t xml:space="preserve"> </w:t>
      </w:r>
      <w:r w:rsidRPr="00415D33">
        <w:rPr>
          <w:rFonts w:eastAsia="Calibri"/>
          <w:sz w:val="28"/>
          <w:szCs w:val="28"/>
          <w:lang w:eastAsia="en-US"/>
        </w:rPr>
        <w:t>–</w:t>
      </w:r>
      <w:r>
        <w:rPr>
          <w:rFonts w:eastAsia="Calibri"/>
          <w:sz w:val="28"/>
          <w:szCs w:val="28"/>
          <w:lang w:eastAsia="en-US"/>
        </w:rPr>
        <w:t xml:space="preserve"> </w:t>
      </w:r>
      <w:r>
        <w:rPr>
          <w:sz w:val="28"/>
          <w:szCs w:val="28"/>
        </w:rPr>
        <w:t>4,9</w:t>
      </w:r>
      <w:r w:rsidRPr="00D65996">
        <w:rPr>
          <w:sz w:val="28"/>
          <w:szCs w:val="28"/>
        </w:rPr>
        <w:t xml:space="preserve"> млн грн; </w:t>
      </w:r>
    </w:p>
    <w:p w14:paraId="6E227C50" w14:textId="77777777" w:rsidR="001A3C70" w:rsidRPr="006F5A3B" w:rsidRDefault="001A3C70" w:rsidP="001A3C70">
      <w:pPr>
        <w:pStyle w:val="a5"/>
        <w:spacing w:after="120"/>
        <w:ind w:left="0" w:firstLine="567"/>
        <w:jc w:val="both"/>
        <w:rPr>
          <w:sz w:val="28"/>
          <w:szCs w:val="28"/>
        </w:rPr>
      </w:pPr>
      <w:r w:rsidRPr="006F5A3B">
        <w:rPr>
          <w:sz w:val="28"/>
          <w:szCs w:val="28"/>
        </w:rPr>
        <w:t xml:space="preserve">забезпечення виконання функцій Верховною Радою України, Антимонопольним комітетом України, Національною службою здоров’я України, Державною митною службою України, Державною службою експортного контролю України, Національною соціальною сервісною службою України, Державною службою геології та надр України </w:t>
      </w:r>
      <w:r w:rsidRPr="006F5A3B">
        <w:rPr>
          <w:sz w:val="28"/>
          <w:szCs w:val="28"/>
          <w:lang w:eastAsia="uk-UA"/>
        </w:rPr>
        <w:t>–</w:t>
      </w:r>
      <w:r w:rsidRPr="006F5A3B">
        <w:rPr>
          <w:sz w:val="28"/>
          <w:szCs w:val="28"/>
        </w:rPr>
        <w:t xml:space="preserve"> 490,8 млн грн;</w:t>
      </w:r>
      <w:r w:rsidRPr="006F5A3B">
        <w:t xml:space="preserve"> </w:t>
      </w:r>
    </w:p>
    <w:p w14:paraId="3C0804C5" w14:textId="77777777" w:rsidR="001A3C70" w:rsidRPr="001A3C70" w:rsidRDefault="001A3C70" w:rsidP="001A3C70">
      <w:pPr>
        <w:spacing w:after="120"/>
        <w:ind w:firstLine="567"/>
        <w:jc w:val="both"/>
        <w:rPr>
          <w:rFonts w:eastAsia="Calibri"/>
          <w:color w:val="00B050"/>
          <w:sz w:val="28"/>
          <w:szCs w:val="28"/>
          <w:lang w:eastAsia="en-US"/>
        </w:rPr>
      </w:pPr>
      <w:r w:rsidRPr="006F5A3B">
        <w:rPr>
          <w:rFonts w:eastAsia="Calibri"/>
          <w:sz w:val="28"/>
          <w:szCs w:val="28"/>
          <w:lang w:eastAsia="en-US"/>
        </w:rPr>
        <w:lastRenderedPageBreak/>
        <w:t xml:space="preserve">судову владу – </w:t>
      </w:r>
      <w:r>
        <w:rPr>
          <w:rFonts w:eastAsia="Calibri"/>
          <w:sz w:val="28"/>
          <w:szCs w:val="28"/>
          <w:lang w:eastAsia="en-US"/>
        </w:rPr>
        <w:t>69,1</w:t>
      </w:r>
      <w:r w:rsidRPr="006F5A3B">
        <w:rPr>
          <w:rFonts w:eastAsia="Calibri"/>
          <w:sz w:val="28"/>
          <w:szCs w:val="28"/>
          <w:lang w:eastAsia="en-US"/>
        </w:rPr>
        <w:t xml:space="preserve"> млн грн;</w:t>
      </w:r>
    </w:p>
    <w:p w14:paraId="1AABCF36" w14:textId="77777777" w:rsidR="006516D1" w:rsidRDefault="006516D1" w:rsidP="00415D33">
      <w:pPr>
        <w:tabs>
          <w:tab w:val="left" w:pos="4"/>
          <w:tab w:val="left" w:pos="851"/>
        </w:tabs>
        <w:spacing w:before="120" w:after="120"/>
        <w:ind w:firstLine="567"/>
        <w:jc w:val="both"/>
        <w:rPr>
          <w:color w:val="00B050"/>
          <w:sz w:val="28"/>
          <w:szCs w:val="28"/>
        </w:rPr>
      </w:pPr>
      <w:r w:rsidRPr="006516D1">
        <w:rPr>
          <w:sz w:val="28"/>
          <w:szCs w:val="28"/>
        </w:rPr>
        <w:t>збільшення обсягу робіт з утилізації твердого ракетного палива та забезпечення безпеки під час утилізації цього палива за КПКВК</w:t>
      </w:r>
      <w:r>
        <w:rPr>
          <w:sz w:val="28"/>
          <w:szCs w:val="28"/>
        </w:rPr>
        <w:t> </w:t>
      </w:r>
      <w:r w:rsidRPr="006516D1">
        <w:rPr>
          <w:sz w:val="28"/>
          <w:szCs w:val="28"/>
        </w:rPr>
        <w:t>6381120</w:t>
      </w:r>
      <w:r w:rsidR="00C3260D">
        <w:rPr>
          <w:sz w:val="28"/>
          <w:szCs w:val="28"/>
        </w:rPr>
        <w:t xml:space="preserve"> </w:t>
      </w:r>
      <w:r w:rsidRPr="006516D1">
        <w:rPr>
          <w:sz w:val="28"/>
          <w:szCs w:val="28"/>
        </w:rPr>
        <w:t xml:space="preserve">«Утилізація твердого ракетного палива» </w:t>
      </w:r>
      <w:r w:rsidRPr="006516D1">
        <w:rPr>
          <w:rFonts w:eastAsia="Calibri"/>
          <w:sz w:val="28"/>
          <w:szCs w:val="28"/>
          <w:lang w:eastAsia="en-US"/>
        </w:rPr>
        <w:t xml:space="preserve">– </w:t>
      </w:r>
      <w:r w:rsidRPr="006516D1">
        <w:rPr>
          <w:sz w:val="28"/>
          <w:szCs w:val="28"/>
        </w:rPr>
        <w:t>376 млн. гривень</w:t>
      </w:r>
      <w:r>
        <w:rPr>
          <w:sz w:val="28"/>
          <w:szCs w:val="28"/>
        </w:rPr>
        <w:t xml:space="preserve">. </w:t>
      </w:r>
    </w:p>
    <w:p w14:paraId="4C3915B2" w14:textId="77777777" w:rsidR="006516D1" w:rsidRDefault="006516D1" w:rsidP="00EA40F6">
      <w:pPr>
        <w:tabs>
          <w:tab w:val="left" w:pos="4"/>
          <w:tab w:val="left" w:pos="851"/>
        </w:tabs>
        <w:spacing w:after="120"/>
        <w:ind w:firstLine="567"/>
        <w:jc w:val="both"/>
        <w:rPr>
          <w:sz w:val="28"/>
          <w:szCs w:val="28"/>
        </w:rPr>
      </w:pPr>
      <w:r w:rsidRPr="00EA40F6">
        <w:rPr>
          <w:sz w:val="28"/>
          <w:szCs w:val="28"/>
        </w:rPr>
        <w:t>За рахунок збалансованого перерозподілу для Міністерства освіти і науки України збільшено видатки на:</w:t>
      </w:r>
    </w:p>
    <w:p w14:paraId="450227A7" w14:textId="77777777" w:rsidR="00EA40F6" w:rsidRDefault="00EA40F6" w:rsidP="00EA40F6">
      <w:pPr>
        <w:tabs>
          <w:tab w:val="left" w:pos="4"/>
          <w:tab w:val="left" w:pos="851"/>
        </w:tabs>
        <w:spacing w:after="120"/>
        <w:ind w:firstLine="567"/>
        <w:jc w:val="both"/>
        <w:rPr>
          <w:sz w:val="28"/>
          <w:szCs w:val="28"/>
        </w:rPr>
      </w:pPr>
      <w:r w:rsidRPr="00EA40F6">
        <w:rPr>
          <w:sz w:val="28"/>
          <w:szCs w:val="28"/>
        </w:rPr>
        <w:t xml:space="preserve">надання освіти закладами загальної середньої освіти, зокрема для мережі освітніх центрів Державної установи «Школа </w:t>
      </w:r>
      <w:proofErr w:type="spellStart"/>
      <w:r w:rsidRPr="00EA40F6">
        <w:rPr>
          <w:sz w:val="28"/>
          <w:szCs w:val="28"/>
        </w:rPr>
        <w:t>супергероїв</w:t>
      </w:r>
      <w:proofErr w:type="spellEnd"/>
      <w:r w:rsidRPr="00EA40F6">
        <w:rPr>
          <w:sz w:val="28"/>
          <w:szCs w:val="28"/>
        </w:rPr>
        <w:t xml:space="preserve">», Державного ліцею «Міжнародна українська школа», Відокремленого структурного підрозділу «Олімпійський фаховий коледж імені Івана Піддубного Національного університету фізичного виховання і спорту України» за </w:t>
      </w:r>
      <w:r>
        <w:rPr>
          <w:sz w:val="28"/>
          <w:szCs w:val="28"/>
        </w:rPr>
        <w:t>КПКВК</w:t>
      </w:r>
      <w:r w:rsidRPr="00EA40F6">
        <w:rPr>
          <w:sz w:val="28"/>
          <w:szCs w:val="28"/>
        </w:rPr>
        <w:t xml:space="preserve"> 2201100 «Надання освіти закладами загальної середньої освіти державної форми власності та освітніх послуг державною установою для осіб, які перебувають у закладах охорони здоров’я» </w:t>
      </w:r>
      <w:r w:rsidRPr="00EA40F6">
        <w:rPr>
          <w:rFonts w:eastAsia="Calibri"/>
          <w:sz w:val="28"/>
          <w:szCs w:val="28"/>
          <w:lang w:eastAsia="en-US"/>
        </w:rPr>
        <w:t xml:space="preserve">– </w:t>
      </w:r>
      <w:r w:rsidRPr="00EA40F6">
        <w:rPr>
          <w:sz w:val="28"/>
          <w:szCs w:val="28"/>
        </w:rPr>
        <w:t>154,6 млн грн;</w:t>
      </w:r>
    </w:p>
    <w:p w14:paraId="7EB81146" w14:textId="77777777" w:rsidR="00EA40F6" w:rsidRDefault="00EA40F6" w:rsidP="00EA40F6">
      <w:pPr>
        <w:tabs>
          <w:tab w:val="left" w:pos="4"/>
          <w:tab w:val="left" w:pos="851"/>
        </w:tabs>
        <w:spacing w:after="120"/>
        <w:ind w:firstLine="567"/>
        <w:jc w:val="both"/>
        <w:rPr>
          <w:sz w:val="28"/>
          <w:szCs w:val="28"/>
        </w:rPr>
      </w:pPr>
      <w:r w:rsidRPr="00EA40F6">
        <w:rPr>
          <w:sz w:val="28"/>
          <w:szCs w:val="28"/>
        </w:rPr>
        <w:t xml:space="preserve">виплати академічних стипендій студентам закладів фахової </w:t>
      </w:r>
      <w:proofErr w:type="spellStart"/>
      <w:r w:rsidRPr="00EA40F6">
        <w:rPr>
          <w:sz w:val="28"/>
          <w:szCs w:val="28"/>
        </w:rPr>
        <w:t>передвищої</w:t>
      </w:r>
      <w:proofErr w:type="spellEnd"/>
      <w:r w:rsidRPr="00EA40F6">
        <w:rPr>
          <w:sz w:val="28"/>
          <w:szCs w:val="28"/>
        </w:rPr>
        <w:t xml:space="preserve"> та вищої освіти за КПКВК 2201190 «Виплата академічних стипендій студентам (курсантам), аспірантам, докторантам закладів фахової </w:t>
      </w:r>
      <w:proofErr w:type="spellStart"/>
      <w:r w:rsidRPr="00EA40F6">
        <w:rPr>
          <w:sz w:val="28"/>
          <w:szCs w:val="28"/>
        </w:rPr>
        <w:t>передвищої</w:t>
      </w:r>
      <w:proofErr w:type="spellEnd"/>
      <w:r w:rsidRPr="00EA40F6">
        <w:rPr>
          <w:sz w:val="28"/>
          <w:szCs w:val="28"/>
        </w:rPr>
        <w:t xml:space="preserve"> та вищої освіти» </w:t>
      </w:r>
      <w:r w:rsidRPr="00EA40F6">
        <w:rPr>
          <w:rFonts w:eastAsia="Calibri"/>
          <w:sz w:val="28"/>
          <w:szCs w:val="28"/>
          <w:lang w:eastAsia="en-US"/>
        </w:rPr>
        <w:t xml:space="preserve">– </w:t>
      </w:r>
      <w:r w:rsidRPr="00EA40F6">
        <w:rPr>
          <w:sz w:val="28"/>
          <w:szCs w:val="28"/>
        </w:rPr>
        <w:t>500 млн грн;</w:t>
      </w:r>
    </w:p>
    <w:p w14:paraId="767BA1F0" w14:textId="77777777" w:rsidR="00EA40F6" w:rsidRPr="00EA40F6" w:rsidRDefault="00EA40F6" w:rsidP="00EA40F6">
      <w:pPr>
        <w:tabs>
          <w:tab w:val="left" w:pos="4"/>
          <w:tab w:val="left" w:pos="851"/>
        </w:tabs>
        <w:spacing w:after="120"/>
        <w:ind w:firstLine="567"/>
        <w:jc w:val="both"/>
        <w:rPr>
          <w:sz w:val="28"/>
          <w:szCs w:val="28"/>
        </w:rPr>
      </w:pPr>
      <w:r w:rsidRPr="00EA40F6">
        <w:rPr>
          <w:sz w:val="28"/>
          <w:szCs w:val="28"/>
        </w:rPr>
        <w:t xml:space="preserve">виплати заробітної плати вчителям за КПКВК 2211190 «Освітня субвенція з державного бюджету місцевим бюджетам» </w:t>
      </w:r>
      <w:r w:rsidRPr="00EA40F6">
        <w:rPr>
          <w:rFonts w:eastAsia="Calibri"/>
          <w:sz w:val="28"/>
          <w:szCs w:val="28"/>
          <w:lang w:eastAsia="en-US"/>
        </w:rPr>
        <w:t xml:space="preserve">– </w:t>
      </w:r>
      <w:r w:rsidRPr="00EA40F6">
        <w:rPr>
          <w:sz w:val="28"/>
          <w:szCs w:val="28"/>
        </w:rPr>
        <w:t>275,3 млн гривень.</w:t>
      </w:r>
    </w:p>
    <w:p w14:paraId="0000699B" w14:textId="77777777" w:rsidR="00D3788A" w:rsidRPr="006F5A3B" w:rsidRDefault="00D3788A" w:rsidP="00D3788A">
      <w:pPr>
        <w:pStyle w:val="a5"/>
        <w:ind w:left="0" w:firstLine="567"/>
        <w:contextualSpacing/>
        <w:jc w:val="both"/>
        <w:rPr>
          <w:rFonts w:eastAsia="Calibri"/>
          <w:color w:val="00B050"/>
          <w:sz w:val="28"/>
          <w:szCs w:val="28"/>
          <w:lang w:eastAsia="en-US"/>
        </w:rPr>
      </w:pPr>
      <w:r w:rsidRPr="006F5A3B">
        <w:rPr>
          <w:rFonts w:eastAsia="Calibri"/>
          <w:sz w:val="28"/>
          <w:szCs w:val="28"/>
          <w:lang w:eastAsia="en-US"/>
        </w:rPr>
        <w:t>Також у проекті державного бюджету на 2024 рік передбачено зменшен</w:t>
      </w:r>
      <w:r w:rsidR="008D1B5F">
        <w:rPr>
          <w:rFonts w:eastAsia="Calibri"/>
          <w:sz w:val="28"/>
          <w:szCs w:val="28"/>
          <w:lang w:eastAsia="en-US"/>
        </w:rPr>
        <w:t>ня</w:t>
      </w:r>
      <w:r w:rsidRPr="006F5A3B">
        <w:rPr>
          <w:rFonts w:eastAsia="Calibri"/>
          <w:sz w:val="28"/>
          <w:szCs w:val="28"/>
          <w:lang w:eastAsia="en-US"/>
        </w:rPr>
        <w:t xml:space="preserve"> видатк</w:t>
      </w:r>
      <w:r w:rsidR="008D1B5F">
        <w:rPr>
          <w:rFonts w:eastAsia="Calibri"/>
          <w:sz w:val="28"/>
          <w:szCs w:val="28"/>
          <w:lang w:eastAsia="en-US"/>
        </w:rPr>
        <w:t>ів</w:t>
      </w:r>
      <w:r w:rsidRPr="006F5A3B">
        <w:rPr>
          <w:rFonts w:eastAsia="Calibri"/>
          <w:sz w:val="28"/>
          <w:szCs w:val="28"/>
          <w:lang w:eastAsia="en-US"/>
        </w:rPr>
        <w:t xml:space="preserve"> на 409,1 млн грн на забезпечення діяльності Бюро економічної безпеки України. </w:t>
      </w:r>
    </w:p>
    <w:p w14:paraId="2AE004B3" w14:textId="77777777" w:rsidR="00837748" w:rsidRPr="006F5A3B" w:rsidRDefault="00837748" w:rsidP="00985091">
      <w:pPr>
        <w:spacing w:before="120" w:after="120"/>
        <w:ind w:firstLine="567"/>
        <w:jc w:val="both"/>
        <w:rPr>
          <w:sz w:val="28"/>
          <w:szCs w:val="28"/>
        </w:rPr>
      </w:pPr>
      <w:r w:rsidRPr="006F5A3B">
        <w:rPr>
          <w:sz w:val="28"/>
          <w:szCs w:val="28"/>
        </w:rPr>
        <w:t>У доопрацьованому проекті Закону України «Про Державний бюджет України на 202</w:t>
      </w:r>
      <w:r w:rsidRPr="006F5A3B">
        <w:rPr>
          <w:sz w:val="28"/>
          <w:szCs w:val="28"/>
          <w:lang w:val="uk"/>
        </w:rPr>
        <w:t>4</w:t>
      </w:r>
      <w:r w:rsidRPr="006F5A3B">
        <w:rPr>
          <w:sz w:val="28"/>
          <w:szCs w:val="28"/>
        </w:rPr>
        <w:t> рік» до другого читання передбачено:</w:t>
      </w:r>
    </w:p>
    <w:p w14:paraId="6F211301" w14:textId="77777777" w:rsidR="00DB3064" w:rsidRPr="006F5A3B" w:rsidRDefault="00837748" w:rsidP="00837748">
      <w:pPr>
        <w:spacing w:after="120"/>
        <w:ind w:firstLine="567"/>
        <w:jc w:val="both"/>
        <w:rPr>
          <w:rFonts w:eastAsia="Calibri"/>
          <w:sz w:val="28"/>
          <w:szCs w:val="28"/>
          <w:lang w:eastAsia="en-US"/>
        </w:rPr>
      </w:pPr>
      <w:r w:rsidRPr="006F5A3B">
        <w:rPr>
          <w:rFonts w:eastAsia="Calibri"/>
          <w:sz w:val="28"/>
          <w:szCs w:val="28"/>
          <w:lang w:eastAsia="en-US"/>
        </w:rPr>
        <w:t>нову</w:t>
      </w:r>
      <w:r w:rsidR="00DB3064" w:rsidRPr="006F5A3B">
        <w:rPr>
          <w:rFonts w:eastAsia="Calibri"/>
          <w:sz w:val="28"/>
          <w:szCs w:val="28"/>
          <w:lang w:eastAsia="en-US"/>
        </w:rPr>
        <w:t xml:space="preserve"> бюджетн</w:t>
      </w:r>
      <w:r w:rsidRPr="006F5A3B">
        <w:rPr>
          <w:rFonts w:eastAsia="Calibri"/>
          <w:sz w:val="28"/>
          <w:szCs w:val="28"/>
          <w:lang w:eastAsia="en-US"/>
        </w:rPr>
        <w:t>у</w:t>
      </w:r>
      <w:r w:rsidR="00DB3064" w:rsidRPr="006F5A3B">
        <w:rPr>
          <w:rFonts w:eastAsia="Calibri"/>
          <w:sz w:val="28"/>
          <w:szCs w:val="28"/>
          <w:lang w:eastAsia="en-US"/>
        </w:rPr>
        <w:t xml:space="preserve"> програм</w:t>
      </w:r>
      <w:r w:rsidRPr="006F5A3B">
        <w:rPr>
          <w:rFonts w:eastAsia="Calibri"/>
          <w:sz w:val="28"/>
          <w:szCs w:val="28"/>
          <w:lang w:eastAsia="en-US"/>
        </w:rPr>
        <w:t>у</w:t>
      </w:r>
      <w:r w:rsidR="00C77740" w:rsidRPr="006F5A3B">
        <w:rPr>
          <w:sz w:val="28"/>
          <w:szCs w:val="28"/>
        </w:rPr>
        <w:t xml:space="preserve"> за КПКВК 2504010 «Керівництво та управління у сфері усиновлення та захисту прав дітей» </w:t>
      </w:r>
      <w:r w:rsidRPr="006F5A3B">
        <w:rPr>
          <w:rFonts w:eastAsia="Calibri"/>
          <w:sz w:val="28"/>
          <w:szCs w:val="28"/>
          <w:lang w:eastAsia="en-US"/>
        </w:rPr>
        <w:t>у сумі</w:t>
      </w:r>
      <w:r w:rsidR="00D9224C" w:rsidRPr="006F5A3B">
        <w:rPr>
          <w:rFonts w:eastAsia="Calibri"/>
          <w:sz w:val="28"/>
          <w:szCs w:val="28"/>
          <w:lang w:eastAsia="en-US"/>
        </w:rPr>
        <w:t xml:space="preserve"> 44,9 млн</w:t>
      </w:r>
      <w:r w:rsidR="00DB3064" w:rsidRPr="006F5A3B">
        <w:rPr>
          <w:rFonts w:eastAsia="Calibri"/>
          <w:sz w:val="28"/>
          <w:szCs w:val="28"/>
          <w:lang w:eastAsia="en-US"/>
        </w:rPr>
        <w:t xml:space="preserve"> </w:t>
      </w:r>
      <w:r w:rsidRPr="006F5A3B">
        <w:rPr>
          <w:rFonts w:eastAsia="Calibri"/>
          <w:sz w:val="28"/>
          <w:szCs w:val="28"/>
          <w:lang w:eastAsia="en-US"/>
        </w:rPr>
        <w:t>грн</w:t>
      </w:r>
      <w:r w:rsidR="00DB3064" w:rsidRPr="006F5A3B">
        <w:rPr>
          <w:rFonts w:eastAsia="Calibri"/>
          <w:sz w:val="28"/>
          <w:szCs w:val="28"/>
          <w:lang w:eastAsia="en-US"/>
        </w:rPr>
        <w:t xml:space="preserve"> на забезпечення діяльності новоутвореної Державної</w:t>
      </w:r>
      <w:r w:rsidR="00D9224C" w:rsidRPr="006F5A3B">
        <w:rPr>
          <w:rFonts w:eastAsia="Calibri"/>
          <w:sz w:val="28"/>
          <w:szCs w:val="28"/>
          <w:lang w:eastAsia="en-US"/>
        </w:rPr>
        <w:t xml:space="preserve"> служби України у справах дітей;</w:t>
      </w:r>
      <w:r w:rsidR="001D0655" w:rsidRPr="006F5A3B">
        <w:t xml:space="preserve"> </w:t>
      </w:r>
    </w:p>
    <w:p w14:paraId="62E2FC08" w14:textId="77777777" w:rsidR="00DB3064" w:rsidRPr="006F5A3B" w:rsidRDefault="00DB3064" w:rsidP="00837748">
      <w:pPr>
        <w:spacing w:after="120"/>
        <w:ind w:firstLine="567"/>
        <w:jc w:val="both"/>
        <w:rPr>
          <w:rFonts w:eastAsia="Calibri"/>
          <w:sz w:val="28"/>
          <w:szCs w:val="28"/>
          <w:lang w:eastAsia="en-US"/>
        </w:rPr>
      </w:pPr>
      <w:r w:rsidRPr="006F5A3B">
        <w:rPr>
          <w:rFonts w:eastAsia="Calibri"/>
          <w:sz w:val="28"/>
          <w:szCs w:val="28"/>
          <w:lang w:eastAsia="en-US"/>
        </w:rPr>
        <w:t>нов</w:t>
      </w:r>
      <w:r w:rsidR="00837748" w:rsidRPr="006F5A3B">
        <w:rPr>
          <w:rFonts w:eastAsia="Calibri"/>
          <w:sz w:val="28"/>
          <w:szCs w:val="28"/>
          <w:lang w:eastAsia="en-US"/>
        </w:rPr>
        <w:t>у</w:t>
      </w:r>
      <w:r w:rsidRPr="006F5A3B">
        <w:rPr>
          <w:rFonts w:eastAsia="Calibri"/>
          <w:sz w:val="28"/>
          <w:szCs w:val="28"/>
          <w:lang w:eastAsia="en-US"/>
        </w:rPr>
        <w:t xml:space="preserve"> бюджетн</w:t>
      </w:r>
      <w:r w:rsidR="00837748" w:rsidRPr="006F5A3B">
        <w:rPr>
          <w:rFonts w:eastAsia="Calibri"/>
          <w:sz w:val="28"/>
          <w:szCs w:val="28"/>
          <w:lang w:eastAsia="en-US"/>
        </w:rPr>
        <w:t>у</w:t>
      </w:r>
      <w:r w:rsidRPr="006F5A3B">
        <w:rPr>
          <w:rFonts w:eastAsia="Calibri"/>
          <w:sz w:val="28"/>
          <w:szCs w:val="28"/>
          <w:lang w:eastAsia="en-US"/>
        </w:rPr>
        <w:t xml:space="preserve"> програм</w:t>
      </w:r>
      <w:r w:rsidR="00837748" w:rsidRPr="006F5A3B">
        <w:rPr>
          <w:rFonts w:eastAsia="Calibri"/>
          <w:sz w:val="28"/>
          <w:szCs w:val="28"/>
          <w:lang w:eastAsia="en-US"/>
        </w:rPr>
        <w:t>у</w:t>
      </w:r>
      <w:r w:rsidRPr="006F5A3B">
        <w:rPr>
          <w:rFonts w:eastAsia="Calibri"/>
          <w:color w:val="FF0000"/>
          <w:sz w:val="28"/>
          <w:szCs w:val="28"/>
          <w:lang w:eastAsia="en-US"/>
        </w:rPr>
        <w:t xml:space="preserve"> </w:t>
      </w:r>
      <w:r w:rsidR="000654B1" w:rsidRPr="006F5A3B">
        <w:rPr>
          <w:sz w:val="28"/>
          <w:szCs w:val="28"/>
        </w:rPr>
        <w:t xml:space="preserve">за КПКВК 3506100 «Реалізація заходів з облаштування пунктів пропуску залізничного сполучення» </w:t>
      </w:r>
      <w:r w:rsidR="000654B1" w:rsidRPr="006F5A3B">
        <w:rPr>
          <w:rFonts w:eastAsia="Calibri"/>
          <w:sz w:val="28"/>
          <w:szCs w:val="28"/>
          <w:lang w:eastAsia="en-US"/>
        </w:rPr>
        <w:t>у сумі 662,4 </w:t>
      </w:r>
      <w:r w:rsidR="008B78F9" w:rsidRPr="006F5A3B">
        <w:rPr>
          <w:rFonts w:eastAsia="Calibri"/>
          <w:sz w:val="28"/>
          <w:szCs w:val="28"/>
          <w:lang w:eastAsia="en-US"/>
        </w:rPr>
        <w:t>млн</w:t>
      </w:r>
      <w:r w:rsidR="000654B1" w:rsidRPr="006F5A3B">
        <w:rPr>
          <w:rFonts w:eastAsia="Calibri"/>
          <w:sz w:val="28"/>
          <w:szCs w:val="28"/>
          <w:lang w:eastAsia="en-US"/>
        </w:rPr>
        <w:t> грн</w:t>
      </w:r>
      <w:r w:rsidRPr="006F5A3B">
        <w:rPr>
          <w:rFonts w:eastAsia="Calibri"/>
          <w:sz w:val="28"/>
          <w:szCs w:val="28"/>
          <w:lang w:eastAsia="en-US"/>
        </w:rPr>
        <w:t xml:space="preserve"> для реалізації заходів з облаштування пунктів п</w:t>
      </w:r>
      <w:r w:rsidR="008B78F9" w:rsidRPr="006F5A3B">
        <w:rPr>
          <w:rFonts w:eastAsia="Calibri"/>
          <w:sz w:val="28"/>
          <w:szCs w:val="28"/>
          <w:lang w:eastAsia="en-US"/>
        </w:rPr>
        <w:t>ропуску залізничного сполучення;</w:t>
      </w:r>
      <w:r w:rsidR="001D0655" w:rsidRPr="006F5A3B">
        <w:rPr>
          <w:rFonts w:eastAsia="Calibri"/>
          <w:sz w:val="28"/>
          <w:szCs w:val="28"/>
          <w:lang w:eastAsia="en-US"/>
        </w:rPr>
        <w:t xml:space="preserve"> </w:t>
      </w:r>
    </w:p>
    <w:p w14:paraId="38EBA3B0" w14:textId="77777777" w:rsidR="00DB3064" w:rsidRDefault="00DB3064" w:rsidP="00837748">
      <w:pPr>
        <w:spacing w:after="120"/>
        <w:ind w:firstLine="567"/>
        <w:jc w:val="both"/>
        <w:rPr>
          <w:rFonts w:eastAsia="Calibri"/>
          <w:color w:val="00B050"/>
          <w:sz w:val="28"/>
          <w:szCs w:val="28"/>
          <w:lang w:eastAsia="en-US"/>
        </w:rPr>
      </w:pPr>
      <w:r w:rsidRPr="006F5A3B">
        <w:rPr>
          <w:rFonts w:eastAsia="Calibri"/>
          <w:sz w:val="28"/>
          <w:szCs w:val="28"/>
          <w:lang w:eastAsia="en-US"/>
        </w:rPr>
        <w:t>нов</w:t>
      </w:r>
      <w:r w:rsidR="000654B1" w:rsidRPr="006F5A3B">
        <w:rPr>
          <w:rFonts w:eastAsia="Calibri"/>
          <w:sz w:val="28"/>
          <w:szCs w:val="28"/>
          <w:lang w:eastAsia="en-US"/>
        </w:rPr>
        <w:t>у</w:t>
      </w:r>
      <w:r w:rsidRPr="006F5A3B">
        <w:rPr>
          <w:rFonts w:eastAsia="Calibri"/>
          <w:sz w:val="28"/>
          <w:szCs w:val="28"/>
          <w:lang w:eastAsia="en-US"/>
        </w:rPr>
        <w:t xml:space="preserve"> бюджетн</w:t>
      </w:r>
      <w:r w:rsidR="000654B1" w:rsidRPr="006F5A3B">
        <w:rPr>
          <w:rFonts w:eastAsia="Calibri"/>
          <w:sz w:val="28"/>
          <w:szCs w:val="28"/>
          <w:lang w:eastAsia="en-US"/>
        </w:rPr>
        <w:t>у</w:t>
      </w:r>
      <w:r w:rsidRPr="006F5A3B">
        <w:rPr>
          <w:rFonts w:eastAsia="Calibri"/>
          <w:sz w:val="28"/>
          <w:szCs w:val="28"/>
          <w:lang w:eastAsia="en-US"/>
        </w:rPr>
        <w:t xml:space="preserve"> програм</w:t>
      </w:r>
      <w:r w:rsidR="000654B1" w:rsidRPr="006F5A3B">
        <w:rPr>
          <w:rFonts w:eastAsia="Calibri"/>
          <w:sz w:val="28"/>
          <w:szCs w:val="28"/>
          <w:lang w:eastAsia="en-US"/>
        </w:rPr>
        <w:t>у</w:t>
      </w:r>
      <w:r w:rsidRPr="006F5A3B">
        <w:rPr>
          <w:rFonts w:eastAsia="Calibri"/>
          <w:sz w:val="28"/>
          <w:szCs w:val="28"/>
          <w:lang w:eastAsia="en-US"/>
        </w:rPr>
        <w:t xml:space="preserve"> </w:t>
      </w:r>
      <w:r w:rsidR="000654B1" w:rsidRPr="006F5A3B">
        <w:rPr>
          <w:rFonts w:eastAsia="Calibri"/>
          <w:sz w:val="28"/>
          <w:szCs w:val="28"/>
          <w:lang w:eastAsia="en-US"/>
        </w:rPr>
        <w:t>за КПКВК 0411250 «Забезпечення функціонування</w:t>
      </w:r>
      <w:r w:rsidR="000654B1" w:rsidRPr="006F5A3B">
        <w:rPr>
          <w:sz w:val="28"/>
          <w:szCs w:val="28"/>
        </w:rPr>
        <w:t xml:space="preserve"> бюджетної установи «Центр гуманітарного розмінування» </w:t>
      </w:r>
      <w:r w:rsidR="000654B1" w:rsidRPr="006F5A3B">
        <w:rPr>
          <w:rFonts w:eastAsia="Calibri"/>
          <w:sz w:val="28"/>
          <w:szCs w:val="28"/>
          <w:lang w:eastAsia="en-US"/>
        </w:rPr>
        <w:t xml:space="preserve">у сумі </w:t>
      </w:r>
      <w:r w:rsidR="008B78F9" w:rsidRPr="006F5A3B">
        <w:rPr>
          <w:rFonts w:eastAsia="Calibri"/>
          <w:sz w:val="28"/>
          <w:szCs w:val="28"/>
          <w:lang w:eastAsia="en-US"/>
        </w:rPr>
        <w:t>49,8 млн</w:t>
      </w:r>
      <w:r w:rsidRPr="006F5A3B">
        <w:rPr>
          <w:rFonts w:eastAsia="Calibri"/>
          <w:sz w:val="28"/>
          <w:szCs w:val="28"/>
          <w:lang w:eastAsia="en-US"/>
        </w:rPr>
        <w:t xml:space="preserve"> </w:t>
      </w:r>
      <w:r w:rsidR="000654B1" w:rsidRPr="006F5A3B">
        <w:rPr>
          <w:rFonts w:eastAsia="Calibri"/>
          <w:sz w:val="28"/>
          <w:szCs w:val="28"/>
          <w:lang w:eastAsia="en-US"/>
        </w:rPr>
        <w:t>грн</w:t>
      </w:r>
      <w:r w:rsidRPr="006F5A3B">
        <w:rPr>
          <w:rFonts w:eastAsia="Calibri"/>
          <w:sz w:val="28"/>
          <w:szCs w:val="28"/>
          <w:lang w:eastAsia="en-US"/>
        </w:rPr>
        <w:t xml:space="preserve"> для забезпечення діяльності Це</w:t>
      </w:r>
      <w:r w:rsidR="00415D33">
        <w:rPr>
          <w:rFonts w:eastAsia="Calibri"/>
          <w:sz w:val="28"/>
          <w:szCs w:val="28"/>
          <w:lang w:eastAsia="en-US"/>
        </w:rPr>
        <w:t>нтру гуманітарного розмінування;</w:t>
      </w:r>
      <w:r w:rsidR="001D0655" w:rsidRPr="006F5A3B">
        <w:t xml:space="preserve"> </w:t>
      </w:r>
    </w:p>
    <w:p w14:paraId="42F3562D" w14:textId="77777777" w:rsidR="00415D33" w:rsidRDefault="00415D33" w:rsidP="00837748">
      <w:pPr>
        <w:spacing w:after="120"/>
        <w:ind w:firstLine="567"/>
        <w:jc w:val="both"/>
        <w:rPr>
          <w:color w:val="00B050"/>
          <w:sz w:val="28"/>
          <w:szCs w:val="28"/>
        </w:rPr>
      </w:pPr>
      <w:r w:rsidRPr="00415D33">
        <w:rPr>
          <w:sz w:val="28"/>
          <w:szCs w:val="28"/>
        </w:rPr>
        <w:t>нов</w:t>
      </w:r>
      <w:r>
        <w:rPr>
          <w:sz w:val="28"/>
          <w:szCs w:val="28"/>
        </w:rPr>
        <w:t>у</w:t>
      </w:r>
      <w:r w:rsidRPr="00415D33">
        <w:rPr>
          <w:sz w:val="28"/>
          <w:szCs w:val="28"/>
        </w:rPr>
        <w:t xml:space="preserve"> бюджетн</w:t>
      </w:r>
      <w:r>
        <w:rPr>
          <w:sz w:val="28"/>
          <w:szCs w:val="28"/>
        </w:rPr>
        <w:t>у</w:t>
      </w:r>
      <w:r w:rsidRPr="00415D33">
        <w:rPr>
          <w:sz w:val="28"/>
          <w:szCs w:val="28"/>
        </w:rPr>
        <w:t xml:space="preserve"> програм</w:t>
      </w:r>
      <w:r>
        <w:rPr>
          <w:sz w:val="28"/>
          <w:szCs w:val="28"/>
        </w:rPr>
        <w:t>у</w:t>
      </w:r>
      <w:r w:rsidRPr="00415D33">
        <w:rPr>
          <w:rFonts w:eastAsia="Calibri"/>
          <w:sz w:val="28"/>
          <w:szCs w:val="28"/>
          <w:lang w:eastAsia="en-US"/>
        </w:rPr>
        <w:t xml:space="preserve"> </w:t>
      </w:r>
      <w:r w:rsidRPr="006F5A3B">
        <w:rPr>
          <w:rFonts w:eastAsia="Calibri"/>
          <w:sz w:val="28"/>
          <w:szCs w:val="28"/>
          <w:lang w:eastAsia="en-US"/>
        </w:rPr>
        <w:t>за КПКВК</w:t>
      </w:r>
      <w:r>
        <w:rPr>
          <w:rFonts w:eastAsia="Calibri"/>
          <w:sz w:val="28"/>
          <w:szCs w:val="28"/>
          <w:lang w:eastAsia="en-US"/>
        </w:rPr>
        <w:t xml:space="preserve"> </w:t>
      </w:r>
      <w:r w:rsidRPr="00415D33">
        <w:rPr>
          <w:sz w:val="28"/>
          <w:szCs w:val="28"/>
        </w:rPr>
        <w:t xml:space="preserve">2301060 </w:t>
      </w:r>
      <w:r>
        <w:rPr>
          <w:sz w:val="28"/>
          <w:szCs w:val="28"/>
        </w:rPr>
        <w:t>«</w:t>
      </w:r>
      <w:r w:rsidRPr="00415D33">
        <w:rPr>
          <w:sz w:val="28"/>
          <w:szCs w:val="28"/>
        </w:rPr>
        <w:t xml:space="preserve">Медична допомога та соціальна реабілітація військовослужбовців у Клінічній лікарні </w:t>
      </w:r>
      <w:r>
        <w:rPr>
          <w:sz w:val="28"/>
          <w:szCs w:val="28"/>
        </w:rPr>
        <w:t>«</w:t>
      </w:r>
      <w:r w:rsidRPr="00415D33">
        <w:rPr>
          <w:sz w:val="28"/>
          <w:szCs w:val="28"/>
        </w:rPr>
        <w:t>Феофанія</w:t>
      </w:r>
      <w:r>
        <w:rPr>
          <w:sz w:val="28"/>
          <w:szCs w:val="28"/>
        </w:rPr>
        <w:t>»</w:t>
      </w:r>
      <w:r w:rsidRPr="00415D33">
        <w:rPr>
          <w:sz w:val="28"/>
          <w:szCs w:val="28"/>
        </w:rPr>
        <w:t xml:space="preserve"> </w:t>
      </w:r>
      <w:r>
        <w:rPr>
          <w:sz w:val="28"/>
          <w:szCs w:val="28"/>
        </w:rPr>
        <w:t xml:space="preserve">у сумі 200 млн грн для </w:t>
      </w:r>
      <w:r w:rsidRPr="00415D33">
        <w:rPr>
          <w:sz w:val="28"/>
          <w:szCs w:val="28"/>
        </w:rPr>
        <w:t>забезпечення лікарськими</w:t>
      </w:r>
      <w:r>
        <w:rPr>
          <w:sz w:val="28"/>
          <w:szCs w:val="28"/>
        </w:rPr>
        <w:t xml:space="preserve"> засобами та медичними виробами</w:t>
      </w:r>
      <w:r w:rsidRPr="00415D33">
        <w:rPr>
          <w:sz w:val="28"/>
          <w:szCs w:val="28"/>
        </w:rPr>
        <w:t xml:space="preserve"> військовослужбовців, які проходять стаціонарне лікування в Клінічній лікарні </w:t>
      </w:r>
      <w:r w:rsidR="004F7667">
        <w:rPr>
          <w:sz w:val="28"/>
          <w:szCs w:val="28"/>
        </w:rPr>
        <w:t>«</w:t>
      </w:r>
      <w:r w:rsidRPr="00415D33">
        <w:rPr>
          <w:sz w:val="28"/>
          <w:szCs w:val="28"/>
        </w:rPr>
        <w:t>Феофанія</w:t>
      </w:r>
      <w:r w:rsidR="004F7667">
        <w:rPr>
          <w:sz w:val="28"/>
          <w:szCs w:val="28"/>
        </w:rPr>
        <w:t>»</w:t>
      </w:r>
      <w:r w:rsidR="00340A9C">
        <w:rPr>
          <w:sz w:val="28"/>
          <w:szCs w:val="28"/>
        </w:rPr>
        <w:t>;</w:t>
      </w:r>
      <w:r>
        <w:rPr>
          <w:sz w:val="28"/>
          <w:szCs w:val="28"/>
        </w:rPr>
        <w:t xml:space="preserve"> </w:t>
      </w:r>
    </w:p>
    <w:p w14:paraId="0C3DE1E1" w14:textId="77777777" w:rsidR="00340A9C" w:rsidRDefault="00340A9C" w:rsidP="00960D6D">
      <w:pPr>
        <w:spacing w:after="120"/>
        <w:ind w:firstLine="567"/>
        <w:jc w:val="both"/>
        <w:rPr>
          <w:sz w:val="28"/>
          <w:szCs w:val="28"/>
        </w:rPr>
      </w:pPr>
      <w:r w:rsidRPr="00340A9C">
        <w:rPr>
          <w:sz w:val="28"/>
          <w:szCs w:val="28"/>
        </w:rPr>
        <w:lastRenderedPageBreak/>
        <w:t>нов</w:t>
      </w:r>
      <w:r>
        <w:rPr>
          <w:sz w:val="28"/>
          <w:szCs w:val="28"/>
        </w:rPr>
        <w:t>у</w:t>
      </w:r>
      <w:r w:rsidRPr="00340A9C">
        <w:rPr>
          <w:sz w:val="28"/>
          <w:szCs w:val="28"/>
        </w:rPr>
        <w:t xml:space="preserve"> бюджетн</w:t>
      </w:r>
      <w:r>
        <w:rPr>
          <w:sz w:val="28"/>
          <w:szCs w:val="28"/>
        </w:rPr>
        <w:t>у</w:t>
      </w:r>
      <w:r w:rsidRPr="00340A9C">
        <w:rPr>
          <w:sz w:val="28"/>
          <w:szCs w:val="28"/>
        </w:rPr>
        <w:t xml:space="preserve"> програм</w:t>
      </w:r>
      <w:r>
        <w:rPr>
          <w:sz w:val="28"/>
          <w:szCs w:val="28"/>
        </w:rPr>
        <w:t xml:space="preserve">у </w:t>
      </w:r>
      <w:r w:rsidRPr="006F5A3B">
        <w:rPr>
          <w:rFonts w:eastAsia="Calibri"/>
          <w:sz w:val="28"/>
          <w:szCs w:val="28"/>
          <w:lang w:eastAsia="en-US"/>
        </w:rPr>
        <w:t xml:space="preserve">за КПКВК </w:t>
      </w:r>
      <w:r w:rsidRPr="00340A9C">
        <w:rPr>
          <w:sz w:val="28"/>
          <w:szCs w:val="28"/>
        </w:rPr>
        <w:t xml:space="preserve">2311590 </w:t>
      </w:r>
      <w:r>
        <w:rPr>
          <w:sz w:val="28"/>
          <w:szCs w:val="28"/>
        </w:rPr>
        <w:t>«</w:t>
      </w:r>
      <w:r w:rsidRPr="00340A9C">
        <w:rPr>
          <w:sz w:val="28"/>
          <w:szCs w:val="28"/>
        </w:rPr>
        <w:t>Субвенція з державного бюджету місцевим бюджетам на облаштування безпечних умов у закладах охорони здоров'я</w:t>
      </w:r>
      <w:r>
        <w:rPr>
          <w:sz w:val="28"/>
          <w:szCs w:val="28"/>
        </w:rPr>
        <w:t xml:space="preserve">» у сумі </w:t>
      </w:r>
      <w:r w:rsidRPr="00340A9C">
        <w:rPr>
          <w:sz w:val="28"/>
          <w:szCs w:val="28"/>
        </w:rPr>
        <w:t>1</w:t>
      </w:r>
      <w:r>
        <w:rPr>
          <w:sz w:val="28"/>
          <w:szCs w:val="28"/>
        </w:rPr>
        <w:t> </w:t>
      </w:r>
      <w:r w:rsidRPr="00340A9C">
        <w:rPr>
          <w:sz w:val="28"/>
          <w:szCs w:val="28"/>
        </w:rPr>
        <w:t>000 млн грн</w:t>
      </w:r>
      <w:r>
        <w:rPr>
          <w:sz w:val="28"/>
          <w:szCs w:val="28"/>
        </w:rPr>
        <w:t>;</w:t>
      </w:r>
    </w:p>
    <w:p w14:paraId="3D0F2CEF" w14:textId="77777777" w:rsidR="00145235" w:rsidRDefault="00145235" w:rsidP="00D140B1">
      <w:pPr>
        <w:tabs>
          <w:tab w:val="left" w:pos="4"/>
          <w:tab w:val="left" w:pos="851"/>
        </w:tabs>
        <w:spacing w:after="120"/>
        <w:ind w:firstLine="567"/>
        <w:jc w:val="both"/>
        <w:rPr>
          <w:sz w:val="28"/>
          <w:szCs w:val="28"/>
          <w:lang w:val="ru-RU"/>
        </w:rPr>
      </w:pPr>
      <w:r w:rsidRPr="00D140B1">
        <w:rPr>
          <w:sz w:val="28"/>
          <w:szCs w:val="28"/>
        </w:rPr>
        <w:t>нову бюджетну програму за КПКВК 3111610 «Розбудова прикордонної дорожньої інфраструктури на українсько-польському кордоні»</w:t>
      </w:r>
      <w:r w:rsidRPr="00D140B1">
        <w:rPr>
          <w:sz w:val="28"/>
          <w:szCs w:val="28"/>
          <w:lang w:val="ru-RU"/>
        </w:rPr>
        <w:t xml:space="preserve"> </w:t>
      </w:r>
      <w:r w:rsidRPr="00D140B1">
        <w:rPr>
          <w:sz w:val="28"/>
          <w:szCs w:val="28"/>
        </w:rPr>
        <w:t>у сумі</w:t>
      </w:r>
      <w:r w:rsidRPr="00D140B1">
        <w:rPr>
          <w:sz w:val="28"/>
          <w:szCs w:val="28"/>
          <w:lang w:val="ru-RU"/>
        </w:rPr>
        <w:t xml:space="preserve"> 44,4 млн грн</w:t>
      </w:r>
      <w:r w:rsidR="00960D6D" w:rsidRPr="00D140B1">
        <w:rPr>
          <w:sz w:val="28"/>
          <w:szCs w:val="28"/>
        </w:rPr>
        <w:t xml:space="preserve"> для впровадження проекту з будівництва, реконструкції та капітального ремонту автомобільних доріг західного регіону </w:t>
      </w:r>
      <w:r w:rsidR="00D140B1" w:rsidRPr="00D140B1">
        <w:rPr>
          <w:sz w:val="28"/>
          <w:szCs w:val="28"/>
        </w:rPr>
        <w:t>для продовження на 2024 рік інвестиційного проекту з будівництва, реконструкції та капітального ремонту автомобільних доріг західного регіону для подальшого поєднання їх з автомобільними дорогами Республіки Польща в частині виконання робіт із капітального ремонту автомобільної дороги загального користування державного значення Т-14-04 Червоноград – Рава Руська, км 3+137 – км 56+307. Джерелом видатків передбачені кошти кредиту Уряду Республіки Польща</w:t>
      </w:r>
      <w:r w:rsidRPr="00D140B1">
        <w:rPr>
          <w:sz w:val="28"/>
          <w:szCs w:val="28"/>
          <w:lang w:val="ru-RU"/>
        </w:rPr>
        <w:t>;</w:t>
      </w:r>
    </w:p>
    <w:p w14:paraId="0A3BAF82" w14:textId="77777777" w:rsidR="00424125" w:rsidRDefault="00424125" w:rsidP="00960D6D">
      <w:pPr>
        <w:spacing w:after="120"/>
        <w:ind w:firstLine="567"/>
        <w:jc w:val="both"/>
        <w:rPr>
          <w:sz w:val="28"/>
          <w:szCs w:val="28"/>
        </w:rPr>
      </w:pPr>
      <w:r w:rsidRPr="00424125">
        <w:rPr>
          <w:sz w:val="28"/>
          <w:szCs w:val="28"/>
        </w:rPr>
        <w:t>нову бюджетну програму</w:t>
      </w:r>
      <w:r w:rsidRPr="00F40492">
        <w:rPr>
          <w:sz w:val="28"/>
          <w:szCs w:val="28"/>
        </w:rPr>
        <w:t xml:space="preserve"> за КПКВК 2801410 «Виконання рішень суду» </w:t>
      </w:r>
      <w:r w:rsidRPr="00424125">
        <w:rPr>
          <w:sz w:val="28"/>
          <w:szCs w:val="28"/>
        </w:rPr>
        <w:t xml:space="preserve">у сумі </w:t>
      </w:r>
      <w:r>
        <w:rPr>
          <w:sz w:val="28"/>
          <w:szCs w:val="28"/>
        </w:rPr>
        <w:t>1 </w:t>
      </w:r>
      <w:r w:rsidRPr="00424125">
        <w:rPr>
          <w:sz w:val="28"/>
          <w:szCs w:val="28"/>
        </w:rPr>
        <w:t>млн грн для виконання остаточних судових рі</w:t>
      </w:r>
      <w:r w:rsidR="009D37FD">
        <w:rPr>
          <w:sz w:val="28"/>
          <w:szCs w:val="28"/>
        </w:rPr>
        <w:t>шень, які набрали законної сили.</w:t>
      </w:r>
    </w:p>
    <w:p w14:paraId="2EC8CA2C" w14:textId="77777777" w:rsidR="002E316A" w:rsidRPr="002E316A" w:rsidRDefault="002E316A" w:rsidP="00172070">
      <w:pPr>
        <w:spacing w:after="120"/>
        <w:ind w:firstLine="567"/>
        <w:jc w:val="both"/>
        <w:rPr>
          <w:sz w:val="28"/>
          <w:szCs w:val="28"/>
        </w:rPr>
      </w:pPr>
      <w:r>
        <w:rPr>
          <w:sz w:val="28"/>
          <w:szCs w:val="28"/>
        </w:rPr>
        <w:t>При доопрацюванні</w:t>
      </w:r>
      <w:r w:rsidR="006D422F" w:rsidRPr="002E316A">
        <w:rPr>
          <w:sz w:val="28"/>
          <w:szCs w:val="28"/>
        </w:rPr>
        <w:t xml:space="preserve"> проекту державного бюджету на 2024 рік </w:t>
      </w:r>
      <w:r>
        <w:rPr>
          <w:sz w:val="28"/>
          <w:szCs w:val="28"/>
        </w:rPr>
        <w:t xml:space="preserve">до другого читання </w:t>
      </w:r>
      <w:r w:rsidR="006D422F" w:rsidRPr="002E316A">
        <w:rPr>
          <w:sz w:val="28"/>
          <w:szCs w:val="28"/>
        </w:rPr>
        <w:t>включено положення</w:t>
      </w:r>
      <w:r w:rsidR="00172070" w:rsidRPr="00172070">
        <w:rPr>
          <w:sz w:val="28"/>
          <w:szCs w:val="28"/>
        </w:rPr>
        <w:t xml:space="preserve"> проекту Закону України «Про внесення змін до розділу</w:t>
      </w:r>
      <w:r w:rsidR="00172070">
        <w:rPr>
          <w:sz w:val="28"/>
          <w:szCs w:val="28"/>
        </w:rPr>
        <w:t xml:space="preserve"> VI Бюджетного кодексу України </w:t>
      </w:r>
      <w:r w:rsidR="00172070" w:rsidRPr="00172070">
        <w:rPr>
          <w:sz w:val="28"/>
          <w:szCs w:val="28"/>
        </w:rPr>
        <w:t>щодо забезпечення підтримки обороноздатності держави та розвитку оборонно-промислового комплексу України»</w:t>
      </w:r>
      <w:r w:rsidR="00172070">
        <w:rPr>
          <w:sz w:val="28"/>
          <w:szCs w:val="28"/>
        </w:rPr>
        <w:t xml:space="preserve"> (реєстр. № 10037 від 12.09.2023)</w:t>
      </w:r>
      <w:r w:rsidRPr="006D422F">
        <w:rPr>
          <w:color w:val="000000"/>
          <w:sz w:val="28"/>
          <w:szCs w:val="28"/>
        </w:rPr>
        <w:t xml:space="preserve">, зокрема </w:t>
      </w:r>
      <w:r w:rsidR="00172070">
        <w:rPr>
          <w:color w:val="000000"/>
          <w:sz w:val="28"/>
          <w:szCs w:val="28"/>
        </w:rPr>
        <w:t>стосовно</w:t>
      </w:r>
      <w:r w:rsidRPr="006D422F">
        <w:rPr>
          <w:color w:val="000000"/>
          <w:sz w:val="28"/>
          <w:szCs w:val="28"/>
        </w:rPr>
        <w:t>:</w:t>
      </w:r>
    </w:p>
    <w:p w14:paraId="6800B972" w14:textId="77777777" w:rsidR="006D422F" w:rsidRDefault="005A3096" w:rsidP="002E316A">
      <w:pPr>
        <w:pStyle w:val="a5"/>
        <w:spacing w:after="120"/>
        <w:ind w:left="0" w:firstLine="567"/>
        <w:jc w:val="both"/>
        <w:rPr>
          <w:color w:val="000000"/>
          <w:sz w:val="28"/>
          <w:szCs w:val="28"/>
        </w:rPr>
      </w:pPr>
      <w:r>
        <w:rPr>
          <w:color w:val="000000"/>
          <w:sz w:val="28"/>
          <w:szCs w:val="28"/>
        </w:rPr>
        <w:t>зарахування</w:t>
      </w:r>
      <w:r w:rsidRPr="002E316A">
        <w:rPr>
          <w:color w:val="000000"/>
          <w:sz w:val="28"/>
          <w:szCs w:val="28"/>
        </w:rPr>
        <w:t xml:space="preserve"> </w:t>
      </w:r>
      <w:r w:rsidR="006D422F" w:rsidRPr="002E316A">
        <w:rPr>
          <w:color w:val="000000"/>
          <w:sz w:val="28"/>
          <w:szCs w:val="28"/>
        </w:rPr>
        <w:t>надходжень дорожнього фонду до загального фонду державного бюджету;</w:t>
      </w:r>
    </w:p>
    <w:p w14:paraId="7ED744D8" w14:textId="77777777" w:rsidR="00F0121B" w:rsidRDefault="005A3096" w:rsidP="004D3CB8">
      <w:pPr>
        <w:spacing w:after="120"/>
        <w:ind w:firstLine="567"/>
        <w:jc w:val="both"/>
        <w:rPr>
          <w:sz w:val="28"/>
          <w:szCs w:val="28"/>
        </w:rPr>
      </w:pPr>
      <w:r>
        <w:rPr>
          <w:sz w:val="28"/>
          <w:szCs w:val="28"/>
        </w:rPr>
        <w:t>зарахування</w:t>
      </w:r>
      <w:r w:rsidRPr="00F0121B">
        <w:rPr>
          <w:sz w:val="28"/>
          <w:szCs w:val="28"/>
        </w:rPr>
        <w:t xml:space="preserve"> в повному обсязі до спеціального фонду Державного бюджету України</w:t>
      </w:r>
      <w:r>
        <w:rPr>
          <w:sz w:val="28"/>
          <w:szCs w:val="28"/>
        </w:rPr>
        <w:t xml:space="preserve"> </w:t>
      </w:r>
      <w:r w:rsidR="00F0121B" w:rsidRPr="00F0121B">
        <w:rPr>
          <w:sz w:val="28"/>
          <w:szCs w:val="28"/>
        </w:rPr>
        <w:t>частин</w:t>
      </w:r>
      <w:r w:rsidR="00F0121B">
        <w:rPr>
          <w:sz w:val="28"/>
          <w:szCs w:val="28"/>
        </w:rPr>
        <w:t>и</w:t>
      </w:r>
      <w:r w:rsidR="00F0121B" w:rsidRPr="00F0121B">
        <w:rPr>
          <w:sz w:val="28"/>
          <w:szCs w:val="28"/>
        </w:rPr>
        <w:t xml:space="preserve">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w:t>
      </w:r>
      <w:r w:rsidR="003C6EDF">
        <w:rPr>
          <w:sz w:val="28"/>
          <w:szCs w:val="28"/>
        </w:rPr>
        <w:t xml:space="preserve">дового і начальницького складу. Такі надходження </w:t>
      </w:r>
      <w:r w:rsidR="00F0121B" w:rsidRPr="00F0121B">
        <w:rPr>
          <w:sz w:val="28"/>
          <w:szCs w:val="28"/>
        </w:rPr>
        <w:t>спрямову</w:t>
      </w:r>
      <w:r w:rsidR="003C6EDF">
        <w:rPr>
          <w:sz w:val="28"/>
          <w:szCs w:val="28"/>
        </w:rPr>
        <w:t>ю</w:t>
      </w:r>
      <w:r w:rsidR="00F0121B" w:rsidRPr="00F0121B">
        <w:rPr>
          <w:sz w:val="28"/>
          <w:szCs w:val="28"/>
        </w:rPr>
        <w:t xml:space="preserve">ться </w:t>
      </w:r>
      <w:r w:rsidR="003C6EDF">
        <w:rPr>
          <w:sz w:val="28"/>
          <w:szCs w:val="28"/>
        </w:rPr>
        <w:t xml:space="preserve">у 2024 році </w:t>
      </w:r>
      <w:r>
        <w:rPr>
          <w:sz w:val="28"/>
          <w:szCs w:val="28"/>
        </w:rPr>
        <w:t>за такими напрямами:</w:t>
      </w:r>
    </w:p>
    <w:p w14:paraId="23790B08" w14:textId="77777777" w:rsidR="005A3096" w:rsidRPr="00065DA9" w:rsidRDefault="005A3096" w:rsidP="005A3096">
      <w:pPr>
        <w:spacing w:after="120"/>
        <w:ind w:firstLine="567"/>
        <w:jc w:val="both"/>
        <w:rPr>
          <w:sz w:val="28"/>
          <w:szCs w:val="28"/>
        </w:rPr>
      </w:pPr>
      <w:r w:rsidRPr="00065DA9">
        <w:rPr>
          <w:sz w:val="28"/>
          <w:szCs w:val="28"/>
        </w:rPr>
        <w:t xml:space="preserve">45 відсотків — Адміністрації Державної служби спеціального зв’язку та захисту інформації України на здійснення заходів із закупівлі спеціальної техніки та обладнання; </w:t>
      </w:r>
    </w:p>
    <w:p w14:paraId="75A8EF6B" w14:textId="77777777" w:rsidR="005A3096" w:rsidRPr="00065DA9" w:rsidRDefault="005A3096" w:rsidP="005A3096">
      <w:pPr>
        <w:spacing w:after="120"/>
        <w:ind w:firstLine="567"/>
        <w:jc w:val="both"/>
        <w:rPr>
          <w:sz w:val="28"/>
          <w:szCs w:val="28"/>
        </w:rPr>
      </w:pPr>
      <w:r w:rsidRPr="00065DA9">
        <w:rPr>
          <w:sz w:val="28"/>
          <w:szCs w:val="28"/>
        </w:rPr>
        <w:t xml:space="preserve">45 відсотків — Міністерству з питань стратегічних галузей промисловості України на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w:t>
      </w:r>
      <w:proofErr w:type="spellStart"/>
      <w:r w:rsidRPr="00065DA9">
        <w:rPr>
          <w:sz w:val="28"/>
          <w:szCs w:val="28"/>
        </w:rPr>
        <w:t>потужностей</w:t>
      </w:r>
      <w:proofErr w:type="spellEnd"/>
      <w:r w:rsidRPr="00065DA9">
        <w:rPr>
          <w:sz w:val="28"/>
          <w:szCs w:val="28"/>
        </w:rPr>
        <w:t xml:space="preserve"> для виготовлення продукції оборонного призначення; </w:t>
      </w:r>
    </w:p>
    <w:p w14:paraId="6CF5E0F1" w14:textId="77777777" w:rsidR="00F1221A" w:rsidRPr="00F1221A" w:rsidRDefault="00F1221A" w:rsidP="00F1221A">
      <w:pPr>
        <w:spacing w:after="120"/>
        <w:ind w:firstLine="567"/>
        <w:jc w:val="both"/>
        <w:rPr>
          <w:sz w:val="28"/>
          <w:szCs w:val="28"/>
        </w:rPr>
      </w:pPr>
      <w:r w:rsidRPr="00F1221A">
        <w:rPr>
          <w:sz w:val="28"/>
          <w:szCs w:val="28"/>
        </w:rPr>
        <w:t xml:space="preserve">10 відсотків – головним розпорядникам коштів державного бюджету, що належать до сектору безпеки і оборони, для подальшого автоматичного спрямування військовим частинам Збройних Сил України, інших військових формувань на матеріально-технічне забезпечення пропорційно до фактично сплаченого податку. </w:t>
      </w:r>
    </w:p>
    <w:p w14:paraId="2FC36E2B" w14:textId="77777777" w:rsidR="00F1221A" w:rsidRPr="00382CCA" w:rsidRDefault="00F1221A" w:rsidP="00F1221A">
      <w:pPr>
        <w:spacing w:after="120"/>
        <w:ind w:firstLine="567"/>
        <w:jc w:val="both"/>
        <w:rPr>
          <w:sz w:val="28"/>
          <w:szCs w:val="28"/>
        </w:rPr>
      </w:pPr>
      <w:r w:rsidRPr="00F1221A">
        <w:rPr>
          <w:sz w:val="28"/>
          <w:szCs w:val="28"/>
        </w:rPr>
        <w:lastRenderedPageBreak/>
        <w:t>Відповідно в законопроекті передбачено нову бюджетну програму «Нерозподілені видатки для сектору безпеки і оборони на матеріально-технічне забезпечення військових частин Збройних Сил України, інших військових формувань» КПКВК 3511220.</w:t>
      </w:r>
    </w:p>
    <w:p w14:paraId="776641C2" w14:textId="77777777" w:rsidR="005A0D6D" w:rsidRPr="00424125" w:rsidRDefault="005A0D6D" w:rsidP="005A0D6D">
      <w:pPr>
        <w:shd w:val="clear" w:color="auto" w:fill="FFFFFF"/>
        <w:spacing w:before="120" w:after="120"/>
        <w:ind w:firstLine="567"/>
        <w:jc w:val="both"/>
        <w:textAlignment w:val="baseline"/>
        <w:rPr>
          <w:sz w:val="28"/>
          <w:szCs w:val="28"/>
        </w:rPr>
      </w:pPr>
      <w:r w:rsidRPr="00DA4DD5">
        <w:rPr>
          <w:b/>
          <w:sz w:val="28"/>
          <w:szCs w:val="28"/>
        </w:rPr>
        <w:t>ІІ</w:t>
      </w:r>
      <w:r w:rsidR="005D4D49" w:rsidRPr="00DA4DD5">
        <w:rPr>
          <w:b/>
          <w:sz w:val="28"/>
          <w:szCs w:val="28"/>
          <w:lang w:val="en-US"/>
        </w:rPr>
        <w:t>I</w:t>
      </w:r>
      <w:r w:rsidRPr="00DA4DD5">
        <w:rPr>
          <w:b/>
          <w:sz w:val="28"/>
          <w:szCs w:val="28"/>
        </w:rPr>
        <w:t>.</w:t>
      </w:r>
      <w:r w:rsidRPr="00DA4DD5">
        <w:rPr>
          <w:sz w:val="28"/>
          <w:szCs w:val="28"/>
        </w:rPr>
        <w:t xml:space="preserve"> </w:t>
      </w:r>
      <w:r w:rsidR="00F22A89">
        <w:rPr>
          <w:sz w:val="28"/>
          <w:szCs w:val="28"/>
        </w:rPr>
        <w:t>У проекті</w:t>
      </w:r>
      <w:r w:rsidR="00F22A89" w:rsidRPr="00DA4DD5">
        <w:rPr>
          <w:sz w:val="28"/>
          <w:szCs w:val="28"/>
        </w:rPr>
        <w:t xml:space="preserve"> Закону України «Про Державний бюджет України на 202</w:t>
      </w:r>
      <w:r w:rsidR="00F22A89" w:rsidRPr="00DA4DD5">
        <w:rPr>
          <w:sz w:val="28"/>
          <w:szCs w:val="28"/>
          <w:lang w:val="ru-RU"/>
        </w:rPr>
        <w:t>4</w:t>
      </w:r>
      <w:r w:rsidR="00F22A89" w:rsidRPr="00DA4DD5">
        <w:rPr>
          <w:sz w:val="28"/>
          <w:szCs w:val="28"/>
        </w:rPr>
        <w:t> рік»</w:t>
      </w:r>
      <w:r w:rsidR="00F22A89">
        <w:rPr>
          <w:sz w:val="28"/>
          <w:szCs w:val="28"/>
        </w:rPr>
        <w:t xml:space="preserve">, </w:t>
      </w:r>
      <w:r w:rsidRPr="00DA4DD5">
        <w:rPr>
          <w:sz w:val="28"/>
          <w:szCs w:val="28"/>
        </w:rPr>
        <w:t>доопрац</w:t>
      </w:r>
      <w:r w:rsidR="00F22A89">
        <w:rPr>
          <w:sz w:val="28"/>
          <w:szCs w:val="28"/>
        </w:rPr>
        <w:t>ьо</w:t>
      </w:r>
      <w:r w:rsidRPr="00DA4DD5">
        <w:rPr>
          <w:sz w:val="28"/>
          <w:szCs w:val="28"/>
        </w:rPr>
        <w:t>ван</w:t>
      </w:r>
      <w:r w:rsidR="00F22A89">
        <w:rPr>
          <w:sz w:val="28"/>
          <w:szCs w:val="28"/>
        </w:rPr>
        <w:t>ому</w:t>
      </w:r>
      <w:r w:rsidRPr="00DA4DD5">
        <w:rPr>
          <w:sz w:val="28"/>
          <w:szCs w:val="28"/>
        </w:rPr>
        <w:t xml:space="preserve"> до другого читання</w:t>
      </w:r>
      <w:r w:rsidR="00F22A89">
        <w:rPr>
          <w:sz w:val="28"/>
          <w:szCs w:val="28"/>
        </w:rPr>
        <w:t>,</w:t>
      </w:r>
      <w:r w:rsidRPr="00DA4DD5">
        <w:rPr>
          <w:sz w:val="28"/>
          <w:szCs w:val="28"/>
        </w:rPr>
        <w:t xml:space="preserve"> дефіцит державного бюджету </w:t>
      </w:r>
      <w:r w:rsidR="00E33D1A" w:rsidRPr="00DA4DD5">
        <w:rPr>
          <w:sz w:val="28"/>
          <w:szCs w:val="28"/>
        </w:rPr>
        <w:t xml:space="preserve">становить </w:t>
      </w:r>
      <w:r w:rsidR="00E33D1A" w:rsidRPr="00424125">
        <w:rPr>
          <w:sz w:val="28"/>
          <w:szCs w:val="28"/>
        </w:rPr>
        <w:t>1 5</w:t>
      </w:r>
      <w:r w:rsidR="00DF7046" w:rsidRPr="00424125">
        <w:rPr>
          <w:sz w:val="28"/>
          <w:szCs w:val="28"/>
        </w:rPr>
        <w:t>71</w:t>
      </w:r>
      <w:r w:rsidR="00E33D1A" w:rsidRPr="00424125">
        <w:rPr>
          <w:sz w:val="28"/>
          <w:szCs w:val="28"/>
        </w:rPr>
        <w:t> </w:t>
      </w:r>
      <w:r w:rsidR="00DF7046" w:rsidRPr="00424125">
        <w:rPr>
          <w:sz w:val="28"/>
          <w:szCs w:val="28"/>
        </w:rPr>
        <w:t>4</w:t>
      </w:r>
      <w:r w:rsidR="00E86532">
        <w:rPr>
          <w:sz w:val="28"/>
          <w:szCs w:val="28"/>
        </w:rPr>
        <w:t>86</w:t>
      </w:r>
      <w:r w:rsidR="00E33D1A" w:rsidRPr="00424125">
        <w:rPr>
          <w:sz w:val="28"/>
          <w:szCs w:val="28"/>
        </w:rPr>
        <w:t>,</w:t>
      </w:r>
      <w:r w:rsidR="00E86532">
        <w:rPr>
          <w:sz w:val="28"/>
          <w:szCs w:val="28"/>
        </w:rPr>
        <w:t>9</w:t>
      </w:r>
      <w:r w:rsidR="00E33D1A" w:rsidRPr="00424125">
        <w:rPr>
          <w:sz w:val="28"/>
          <w:szCs w:val="28"/>
        </w:rPr>
        <w:t> млн гривень</w:t>
      </w:r>
      <w:r w:rsidR="00DA4DD5" w:rsidRPr="00424125">
        <w:rPr>
          <w:sz w:val="28"/>
          <w:szCs w:val="28"/>
        </w:rPr>
        <w:t>.</w:t>
      </w:r>
    </w:p>
    <w:p w14:paraId="28F59D06"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 xml:space="preserve">Фінансування загального фонду державного бюджету за борговими операціями у 2024 році зменшене на 22 131,6 млн грн, в тому числі внутрішнє фінансування збільшене на 81 400 млн грн, зовнішнє фінансування зменшене на 103 531,6 млн гривень. </w:t>
      </w:r>
    </w:p>
    <w:p w14:paraId="7195B83B"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При цьому обсяг державних запозичень зменшено на 1 856,9 млн грн, в тому числі державних внутрішніх запозичень збільшено на 104 307,4 млн грн, державних зовнішніх запозичень зменшено на 106 164,3 млн гривень.</w:t>
      </w:r>
    </w:p>
    <w:p w14:paraId="17C9B376"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Обсяг платежів з погашення державного боргу збільшено на 20 274,7 млн грн, в тому числі державного внутрішнього боргу збільшено на 22 907,4 млн грн, державного зовнішнього боргу зменшено на 2 632,7 млн гривень.</w:t>
      </w:r>
    </w:p>
    <w:p w14:paraId="2FF66B71"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Обсяг платежів з обслуговування державного боргу зменшено на 2 081,2</w:t>
      </w:r>
      <w:r w:rsidR="00F51868">
        <w:rPr>
          <w:sz w:val="28"/>
          <w:szCs w:val="28"/>
        </w:rPr>
        <w:t> </w:t>
      </w:r>
      <w:r w:rsidRPr="005A3096">
        <w:rPr>
          <w:sz w:val="28"/>
          <w:szCs w:val="28"/>
        </w:rPr>
        <w:t>млн</w:t>
      </w:r>
      <w:r w:rsidR="00F51868">
        <w:rPr>
          <w:sz w:val="28"/>
          <w:szCs w:val="28"/>
        </w:rPr>
        <w:t> </w:t>
      </w:r>
      <w:r w:rsidRPr="005A3096">
        <w:rPr>
          <w:sz w:val="28"/>
          <w:szCs w:val="28"/>
        </w:rPr>
        <w:t>грн, в тому числі державного</w:t>
      </w:r>
      <w:r w:rsidR="00F51868">
        <w:rPr>
          <w:sz w:val="28"/>
          <w:szCs w:val="28"/>
        </w:rPr>
        <w:t xml:space="preserve"> внутрішнього боргу зменшено на</w:t>
      </w:r>
      <w:r w:rsidRPr="005A3096">
        <w:rPr>
          <w:sz w:val="28"/>
          <w:szCs w:val="28"/>
        </w:rPr>
        <w:t xml:space="preserve"> 296,3</w:t>
      </w:r>
      <w:r w:rsidR="00F51868">
        <w:rPr>
          <w:sz w:val="28"/>
          <w:szCs w:val="28"/>
        </w:rPr>
        <w:t> </w:t>
      </w:r>
      <w:r w:rsidRPr="005A3096">
        <w:rPr>
          <w:sz w:val="28"/>
          <w:szCs w:val="28"/>
        </w:rPr>
        <w:t>млн грн, державного зовнішнього боргу - на 1 784,9 млн гривень.</w:t>
      </w:r>
    </w:p>
    <w:p w14:paraId="1B84A306"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Обсяг державних запозичень до спеціального фонду державного бюджету на фінансування проектів розвитку та відновлення і відбудови інфраструктури від іноземних держав збільшено на 44,4 млн гривень.</w:t>
      </w:r>
    </w:p>
    <w:p w14:paraId="4A6ECFE8"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В результаті  прогнозний обсяг державного боргу в еквіваленті у національній валюті зменшився на 723 </w:t>
      </w:r>
      <w:r w:rsidR="00F51868">
        <w:rPr>
          <w:sz w:val="28"/>
          <w:szCs w:val="28"/>
        </w:rPr>
        <w:t>765</w:t>
      </w:r>
      <w:r w:rsidRPr="005A3096">
        <w:rPr>
          <w:sz w:val="28"/>
          <w:szCs w:val="28"/>
        </w:rPr>
        <w:t xml:space="preserve"> млн грн (9.5 в. п. відносно ВВП),  обсяг гарантованого державою боргу – на 25 278,3 млн грн (0.3 в. п. відносно ВВП).</w:t>
      </w:r>
    </w:p>
    <w:p w14:paraId="182AD000" w14:textId="77777777" w:rsidR="005A3096" w:rsidRPr="005A3096" w:rsidRDefault="005A3096" w:rsidP="005A3096">
      <w:pPr>
        <w:shd w:val="clear" w:color="auto" w:fill="FFFFFF"/>
        <w:spacing w:before="120" w:after="120"/>
        <w:ind w:firstLine="567"/>
        <w:jc w:val="both"/>
        <w:textAlignment w:val="baseline"/>
        <w:rPr>
          <w:sz w:val="28"/>
          <w:szCs w:val="28"/>
        </w:rPr>
      </w:pPr>
      <w:r w:rsidRPr="005A3096">
        <w:rPr>
          <w:sz w:val="28"/>
          <w:szCs w:val="28"/>
        </w:rPr>
        <w:t>Також, у зв’язку зі збільшенням обсягу доходів загального фонду державного бюджету збільшено на 663,9 млн грн граничний обсяг надання державних гарантій за рішенням Кабінету Міністрів України.</w:t>
      </w:r>
    </w:p>
    <w:p w14:paraId="3D7A45E0" w14:textId="77777777" w:rsidR="008A5679" w:rsidRPr="00DA4DD5" w:rsidRDefault="008A5679" w:rsidP="007F37A0">
      <w:pPr>
        <w:spacing w:after="120"/>
        <w:ind w:firstLine="567"/>
        <w:jc w:val="both"/>
        <w:rPr>
          <w:sz w:val="28"/>
          <w:szCs w:val="28"/>
        </w:rPr>
      </w:pPr>
      <w:r w:rsidRPr="00DA4DD5">
        <w:rPr>
          <w:b/>
          <w:color w:val="000000"/>
          <w:sz w:val="28"/>
          <w:szCs w:val="28"/>
          <w:lang w:val="en-US" w:eastAsia="uk-UA"/>
        </w:rPr>
        <w:t>I</w:t>
      </w:r>
      <w:r w:rsidR="00CA0700" w:rsidRPr="00DA4DD5">
        <w:rPr>
          <w:b/>
          <w:color w:val="000000"/>
          <w:sz w:val="28"/>
          <w:szCs w:val="28"/>
          <w:lang w:val="en-US" w:eastAsia="uk-UA"/>
        </w:rPr>
        <w:t>V</w:t>
      </w:r>
      <w:r w:rsidRPr="00DA4DD5">
        <w:rPr>
          <w:b/>
          <w:color w:val="000000"/>
          <w:sz w:val="28"/>
          <w:szCs w:val="28"/>
          <w:lang w:eastAsia="uk-UA"/>
        </w:rPr>
        <w:t>.</w:t>
      </w:r>
      <w:r w:rsidRPr="00DA4DD5">
        <w:rPr>
          <w:color w:val="000000"/>
          <w:sz w:val="28"/>
          <w:szCs w:val="28"/>
          <w:lang w:eastAsia="uk-UA"/>
        </w:rPr>
        <w:t xml:space="preserve"> </w:t>
      </w:r>
      <w:r w:rsidR="00DA4DD5">
        <w:rPr>
          <w:color w:val="000000"/>
          <w:sz w:val="28"/>
          <w:szCs w:val="28"/>
          <w:lang w:eastAsia="uk-UA"/>
        </w:rPr>
        <w:t xml:space="preserve">При доопрацюванні </w:t>
      </w:r>
      <w:r w:rsidR="00DA4DD5">
        <w:rPr>
          <w:sz w:val="28"/>
          <w:szCs w:val="28"/>
        </w:rPr>
        <w:t xml:space="preserve">проекту Закону України «Про Державний бюджет України на 2024 рік» до другого читання, з урахуванням Бюджетних висновків Верховної Ради України, уточнено/доповнено текстову частину проекту Державного бюджету України на 2024 рік. </w:t>
      </w:r>
    </w:p>
    <w:p w14:paraId="16D76CDB" w14:textId="77777777" w:rsidR="00434015" w:rsidRPr="006F5A3B" w:rsidRDefault="008A5679" w:rsidP="007F37A0">
      <w:pPr>
        <w:widowControl w:val="0"/>
        <w:spacing w:before="120" w:after="120"/>
        <w:ind w:left="40" w:right="60" w:firstLine="567"/>
        <w:jc w:val="both"/>
        <w:rPr>
          <w:color w:val="000000"/>
          <w:sz w:val="28"/>
          <w:szCs w:val="28"/>
          <w:lang w:eastAsia="uk-UA"/>
        </w:rPr>
      </w:pPr>
      <w:r w:rsidRPr="00B5364C">
        <w:rPr>
          <w:b/>
          <w:color w:val="000000"/>
          <w:sz w:val="28"/>
          <w:szCs w:val="28"/>
          <w:lang w:val="en-US" w:eastAsia="uk-UA"/>
        </w:rPr>
        <w:t>V</w:t>
      </w:r>
      <w:r w:rsidR="00D61FC2" w:rsidRPr="00B5364C">
        <w:rPr>
          <w:b/>
          <w:color w:val="000000"/>
          <w:sz w:val="28"/>
          <w:szCs w:val="28"/>
          <w:lang w:eastAsia="uk-UA"/>
        </w:rPr>
        <w:t>.</w:t>
      </w:r>
      <w:r w:rsidR="00D61FC2" w:rsidRPr="006F5A3B">
        <w:rPr>
          <w:color w:val="000000"/>
          <w:sz w:val="28"/>
          <w:szCs w:val="28"/>
          <w:lang w:eastAsia="uk-UA"/>
        </w:rPr>
        <w:t xml:space="preserve"> </w:t>
      </w:r>
      <w:r w:rsidR="00434015" w:rsidRPr="006F5A3B">
        <w:rPr>
          <w:color w:val="000000"/>
          <w:sz w:val="28"/>
          <w:szCs w:val="28"/>
          <w:lang w:eastAsia="uk-UA"/>
        </w:rPr>
        <w:t xml:space="preserve">За результатами доопрацювання проекту Закону України «Про Державний бюджет України на 2024 рік» до другого читання з урахуванням Бюджетних висновків Верховної Ради України збільшено ресурс місцевих бюджетів </w:t>
      </w:r>
      <w:r w:rsidR="00434015" w:rsidRPr="006F5A3B">
        <w:rPr>
          <w:sz w:val="28"/>
          <w:szCs w:val="28"/>
          <w:lang w:eastAsia="uk-UA"/>
        </w:rPr>
        <w:t xml:space="preserve">на </w:t>
      </w:r>
      <w:r w:rsidR="00434015" w:rsidRPr="006F5A3B">
        <w:rPr>
          <w:sz w:val="28"/>
          <w:szCs w:val="28"/>
          <w:lang w:val="ru-RU" w:eastAsia="uk-UA"/>
        </w:rPr>
        <w:t>23</w:t>
      </w:r>
      <w:r w:rsidR="00434015" w:rsidRPr="006F5A3B">
        <w:rPr>
          <w:sz w:val="28"/>
          <w:szCs w:val="28"/>
          <w:lang w:eastAsia="uk-UA"/>
        </w:rPr>
        <w:t> </w:t>
      </w:r>
      <w:r w:rsidR="00434015" w:rsidRPr="006F5A3B">
        <w:rPr>
          <w:sz w:val="28"/>
          <w:szCs w:val="28"/>
          <w:lang w:val="ru-RU" w:eastAsia="uk-UA"/>
        </w:rPr>
        <w:t>229</w:t>
      </w:r>
      <w:r w:rsidR="00434015" w:rsidRPr="006F5A3B">
        <w:rPr>
          <w:sz w:val="28"/>
          <w:szCs w:val="28"/>
          <w:lang w:eastAsia="uk-UA"/>
        </w:rPr>
        <w:t xml:space="preserve"> млн </w:t>
      </w:r>
      <w:r w:rsidR="00434015" w:rsidRPr="006F5A3B">
        <w:rPr>
          <w:color w:val="000000"/>
          <w:sz w:val="28"/>
          <w:szCs w:val="28"/>
          <w:lang w:eastAsia="uk-UA"/>
        </w:rPr>
        <w:t>грн, у тому числі:</w:t>
      </w:r>
    </w:p>
    <w:p w14:paraId="6177D62A" w14:textId="77777777" w:rsidR="00434015" w:rsidRPr="006F5A3B" w:rsidRDefault="00434015" w:rsidP="007F37A0">
      <w:pPr>
        <w:widowControl w:val="0"/>
        <w:tabs>
          <w:tab w:val="left" w:pos="851"/>
          <w:tab w:val="left" w:pos="1134"/>
        </w:tabs>
        <w:spacing w:before="120" w:after="120"/>
        <w:ind w:left="40" w:right="60" w:firstLine="567"/>
        <w:jc w:val="both"/>
        <w:rPr>
          <w:sz w:val="28"/>
          <w:szCs w:val="28"/>
          <w:lang w:eastAsia="uk-UA"/>
        </w:rPr>
      </w:pPr>
      <w:r w:rsidRPr="006F5A3B">
        <w:rPr>
          <w:color w:val="000000"/>
          <w:sz w:val="28"/>
          <w:szCs w:val="28"/>
          <w:lang w:eastAsia="uk-UA"/>
        </w:rPr>
        <w:t xml:space="preserve">доходи місцевих бюджетів </w:t>
      </w:r>
      <w:r w:rsidRPr="006F5A3B">
        <w:rPr>
          <w:sz w:val="28"/>
          <w:szCs w:val="28"/>
          <w:lang w:eastAsia="uk-UA"/>
        </w:rPr>
        <w:t xml:space="preserve">збільшено </w:t>
      </w:r>
      <w:r w:rsidRPr="006F5A3B">
        <w:rPr>
          <w:sz w:val="28"/>
          <w:szCs w:val="28"/>
        </w:rPr>
        <w:t>–</w:t>
      </w:r>
      <w:r w:rsidRPr="006F5A3B">
        <w:rPr>
          <w:sz w:val="28"/>
          <w:szCs w:val="28"/>
          <w:lang w:eastAsia="uk-UA"/>
        </w:rPr>
        <w:t xml:space="preserve"> </w:t>
      </w:r>
      <w:r w:rsidRPr="006F5A3B">
        <w:rPr>
          <w:sz w:val="28"/>
          <w:szCs w:val="28"/>
          <w:lang w:val="ru-RU" w:eastAsia="uk-UA"/>
        </w:rPr>
        <w:t>22</w:t>
      </w:r>
      <w:r w:rsidRPr="006F5A3B">
        <w:rPr>
          <w:sz w:val="28"/>
          <w:szCs w:val="28"/>
          <w:lang w:eastAsia="uk-UA"/>
        </w:rPr>
        <w:t> </w:t>
      </w:r>
      <w:r w:rsidRPr="006F5A3B">
        <w:rPr>
          <w:sz w:val="28"/>
          <w:szCs w:val="28"/>
          <w:lang w:val="ru-RU" w:eastAsia="uk-UA"/>
        </w:rPr>
        <w:t>928</w:t>
      </w:r>
      <w:r w:rsidRPr="006F5A3B">
        <w:rPr>
          <w:sz w:val="28"/>
          <w:szCs w:val="28"/>
          <w:lang w:eastAsia="uk-UA"/>
        </w:rPr>
        <w:t>,</w:t>
      </w:r>
      <w:r w:rsidRPr="006F5A3B">
        <w:rPr>
          <w:sz w:val="28"/>
          <w:szCs w:val="28"/>
          <w:lang w:val="ru-RU" w:eastAsia="uk-UA"/>
        </w:rPr>
        <w:t>7</w:t>
      </w:r>
      <w:r w:rsidRPr="006F5A3B">
        <w:rPr>
          <w:sz w:val="28"/>
          <w:szCs w:val="28"/>
          <w:lang w:eastAsia="uk-UA"/>
        </w:rPr>
        <w:t xml:space="preserve"> млн </w:t>
      </w:r>
      <w:r w:rsidRPr="006F5A3B">
        <w:rPr>
          <w:color w:val="000000"/>
          <w:sz w:val="28"/>
          <w:szCs w:val="28"/>
          <w:lang w:eastAsia="uk-UA"/>
        </w:rPr>
        <w:t>грн;</w:t>
      </w:r>
    </w:p>
    <w:p w14:paraId="4D5FE379" w14:textId="77777777" w:rsidR="00434015" w:rsidRPr="006F5A3B" w:rsidRDefault="00434015" w:rsidP="007F37A0">
      <w:pPr>
        <w:widowControl w:val="0"/>
        <w:tabs>
          <w:tab w:val="left" w:pos="851"/>
          <w:tab w:val="left" w:pos="1134"/>
        </w:tabs>
        <w:spacing w:before="120" w:after="120"/>
        <w:ind w:left="40" w:right="60" w:firstLine="567"/>
        <w:jc w:val="both"/>
        <w:rPr>
          <w:color w:val="000000"/>
          <w:sz w:val="28"/>
          <w:szCs w:val="28"/>
          <w:lang w:eastAsia="uk-UA"/>
        </w:rPr>
      </w:pPr>
      <w:r w:rsidRPr="006F5A3B">
        <w:rPr>
          <w:color w:val="000000"/>
          <w:sz w:val="28"/>
          <w:szCs w:val="28"/>
          <w:lang w:eastAsia="uk-UA"/>
        </w:rPr>
        <w:t xml:space="preserve">трансферти з державного бюджету місцевим бюджетам збільшено </w:t>
      </w:r>
      <w:r w:rsidRPr="006F5A3B">
        <w:rPr>
          <w:sz w:val="28"/>
          <w:szCs w:val="28"/>
        </w:rPr>
        <w:t>–</w:t>
      </w:r>
      <w:r w:rsidRPr="006F5A3B">
        <w:rPr>
          <w:color w:val="000000"/>
          <w:sz w:val="28"/>
          <w:szCs w:val="28"/>
          <w:lang w:eastAsia="uk-UA"/>
        </w:rPr>
        <w:t xml:space="preserve"> </w:t>
      </w:r>
      <w:r w:rsidRPr="006F5A3B">
        <w:rPr>
          <w:color w:val="000000"/>
          <w:sz w:val="28"/>
          <w:szCs w:val="28"/>
          <w:lang w:val="ru-RU" w:eastAsia="uk-UA"/>
        </w:rPr>
        <w:t>300</w:t>
      </w:r>
      <w:r w:rsidRPr="006F5A3B">
        <w:rPr>
          <w:color w:val="000000"/>
          <w:sz w:val="28"/>
          <w:szCs w:val="28"/>
          <w:lang w:eastAsia="uk-UA"/>
        </w:rPr>
        <w:t>,</w:t>
      </w:r>
      <w:r w:rsidRPr="006F5A3B">
        <w:rPr>
          <w:color w:val="000000"/>
          <w:sz w:val="28"/>
          <w:szCs w:val="28"/>
          <w:lang w:val="ru-RU" w:eastAsia="uk-UA"/>
        </w:rPr>
        <w:t>3</w:t>
      </w:r>
      <w:r w:rsidRPr="006F5A3B">
        <w:rPr>
          <w:color w:val="000000"/>
          <w:sz w:val="28"/>
          <w:szCs w:val="28"/>
          <w:lang w:eastAsia="uk-UA"/>
        </w:rPr>
        <w:t> </w:t>
      </w:r>
      <w:r w:rsidRPr="006F5A3B">
        <w:rPr>
          <w:sz w:val="28"/>
          <w:szCs w:val="28"/>
          <w:lang w:eastAsia="uk-UA"/>
        </w:rPr>
        <w:t>млн</w:t>
      </w:r>
      <w:r w:rsidRPr="006F5A3B">
        <w:rPr>
          <w:color w:val="000000"/>
          <w:sz w:val="28"/>
          <w:szCs w:val="28"/>
          <w:lang w:eastAsia="uk-UA"/>
        </w:rPr>
        <w:t> гривень.</w:t>
      </w:r>
    </w:p>
    <w:p w14:paraId="72A6671B" w14:textId="77777777" w:rsidR="00434015" w:rsidRPr="006F5A3B" w:rsidRDefault="00434015" w:rsidP="007F37A0">
      <w:pPr>
        <w:widowControl w:val="0"/>
        <w:tabs>
          <w:tab w:val="left" w:pos="851"/>
          <w:tab w:val="left" w:pos="1134"/>
        </w:tabs>
        <w:spacing w:before="120" w:after="120"/>
        <w:ind w:left="40" w:right="60" w:firstLine="567"/>
        <w:jc w:val="both"/>
        <w:rPr>
          <w:color w:val="000000"/>
          <w:sz w:val="28"/>
          <w:szCs w:val="28"/>
          <w:lang w:eastAsia="uk-UA"/>
        </w:rPr>
      </w:pPr>
      <w:r w:rsidRPr="006F5A3B">
        <w:rPr>
          <w:color w:val="000000"/>
          <w:sz w:val="28"/>
          <w:szCs w:val="28"/>
          <w:lang w:eastAsia="uk-UA"/>
        </w:rPr>
        <w:lastRenderedPageBreak/>
        <w:t>Зміни дохідної частини місцевих бюджетів відбулись за рахунок врахування спрямування 4 відсотків податку</w:t>
      </w:r>
      <w:r w:rsidRPr="006F5A3B">
        <w:rPr>
          <w:sz w:val="28"/>
          <w:szCs w:val="28"/>
        </w:rPr>
        <w:t xml:space="preserve"> на доходи фізичних осіб</w:t>
      </w:r>
      <w:r w:rsidRPr="006F5A3B">
        <w:rPr>
          <w:color w:val="000000"/>
          <w:sz w:val="28"/>
          <w:szCs w:val="28"/>
          <w:lang w:eastAsia="uk-UA"/>
        </w:rPr>
        <w:t xml:space="preserve"> (крім податку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 державного бюджету до місцевих бюджетів та уточнення макроекономічних показників економічного та соціального розвитку України, за даними Мінекономіки, зокрема, фонду оплати праці найманих працівників, індексу споживчих цін, індексу цін виробників промислової продукції, обмінного курсу гривні до долара США.</w:t>
      </w:r>
    </w:p>
    <w:p w14:paraId="74CE61F4" w14:textId="77777777" w:rsidR="004F7667" w:rsidRPr="004F7667" w:rsidRDefault="004F7667" w:rsidP="004F7667">
      <w:pPr>
        <w:tabs>
          <w:tab w:val="left" w:pos="993"/>
          <w:tab w:val="left" w:pos="1134"/>
        </w:tabs>
        <w:spacing w:before="120" w:after="120"/>
        <w:ind w:firstLine="567"/>
        <w:jc w:val="both"/>
        <w:rPr>
          <w:b/>
          <w:sz w:val="28"/>
          <w:szCs w:val="28"/>
        </w:rPr>
      </w:pPr>
      <w:r w:rsidRPr="004F7667">
        <w:rPr>
          <w:color w:val="000000"/>
          <w:sz w:val="28"/>
          <w:szCs w:val="28"/>
          <w:lang w:eastAsia="uk-UA"/>
        </w:rPr>
        <w:t xml:space="preserve">При визначенні обсягу трансфертів враховано: </w:t>
      </w:r>
    </w:p>
    <w:p w14:paraId="2C90C441" w14:textId="77777777" w:rsidR="00C3260D" w:rsidRPr="00C3260D" w:rsidRDefault="004F7667" w:rsidP="00C3260D">
      <w:pPr>
        <w:tabs>
          <w:tab w:val="left" w:pos="1134"/>
        </w:tabs>
        <w:spacing w:before="120" w:after="120"/>
        <w:ind w:left="1" w:firstLine="567"/>
        <w:jc w:val="both"/>
        <w:rPr>
          <w:vanish/>
          <w:sz w:val="28"/>
          <w:szCs w:val="28"/>
        </w:rPr>
      </w:pPr>
      <w:r w:rsidRPr="004F7667">
        <w:rPr>
          <w:bCs/>
          <w:color w:val="000000"/>
          <w:sz w:val="28"/>
          <w:szCs w:val="28"/>
          <w:lang w:eastAsia="uk-UA"/>
        </w:rPr>
        <w:t xml:space="preserve">передбачення нової </w:t>
      </w:r>
      <w:r w:rsidRPr="004F7667">
        <w:rPr>
          <w:color w:val="000000"/>
          <w:sz w:val="28"/>
          <w:szCs w:val="28"/>
          <w:lang w:eastAsia="uk-UA"/>
        </w:rPr>
        <w:t>субвенції на облаштування безпечних умов у закладах охорони здоров'я</w:t>
      </w:r>
      <w:r w:rsidRPr="004F7667">
        <w:rPr>
          <w:sz w:val="28"/>
          <w:szCs w:val="28"/>
        </w:rPr>
        <w:t xml:space="preserve"> – </w:t>
      </w:r>
      <w:r>
        <w:rPr>
          <w:sz w:val="28"/>
          <w:szCs w:val="28"/>
        </w:rPr>
        <w:t>1 </w:t>
      </w:r>
      <w:r w:rsidRPr="004F7667">
        <w:rPr>
          <w:sz w:val="28"/>
          <w:szCs w:val="28"/>
        </w:rPr>
        <w:t>000</w:t>
      </w:r>
      <w:r w:rsidRPr="004F7667">
        <w:rPr>
          <w:sz w:val="28"/>
          <w:szCs w:val="28"/>
          <w:lang w:val="ru-RU"/>
        </w:rPr>
        <w:t> </w:t>
      </w:r>
      <w:r w:rsidRPr="004F7667">
        <w:rPr>
          <w:sz w:val="28"/>
          <w:szCs w:val="28"/>
        </w:rPr>
        <w:t>млн грн;</w:t>
      </w:r>
    </w:p>
    <w:p w14:paraId="48C5B9C5" w14:textId="77777777" w:rsidR="004F7667" w:rsidRPr="004F7667" w:rsidRDefault="004F7667" w:rsidP="004F7667">
      <w:pPr>
        <w:tabs>
          <w:tab w:val="left" w:pos="1134"/>
        </w:tabs>
        <w:spacing w:before="120" w:after="120"/>
        <w:ind w:left="1" w:firstLine="567"/>
        <w:jc w:val="both"/>
        <w:rPr>
          <w:sz w:val="28"/>
          <w:szCs w:val="28"/>
        </w:rPr>
      </w:pPr>
      <w:r w:rsidRPr="004F7667">
        <w:rPr>
          <w:sz w:val="28"/>
          <w:szCs w:val="28"/>
        </w:rPr>
        <w:t>збільшення:</w:t>
      </w:r>
    </w:p>
    <w:p w14:paraId="64749155" w14:textId="77777777" w:rsidR="00434015" w:rsidRPr="006F5A3B" w:rsidRDefault="00434015" w:rsidP="007F37A0">
      <w:pPr>
        <w:tabs>
          <w:tab w:val="left" w:pos="1134"/>
        </w:tabs>
        <w:spacing w:before="120" w:after="120"/>
        <w:ind w:left="1" w:firstLine="567"/>
        <w:jc w:val="both"/>
        <w:rPr>
          <w:sz w:val="28"/>
          <w:szCs w:val="28"/>
        </w:rPr>
      </w:pPr>
      <w:r w:rsidRPr="006F5A3B">
        <w:rPr>
          <w:sz w:val="28"/>
          <w:szCs w:val="28"/>
        </w:rPr>
        <w:t>освітньої субвенції – 275,3 млн грн;</w:t>
      </w:r>
    </w:p>
    <w:p w14:paraId="66F850C1" w14:textId="77777777" w:rsidR="00434015" w:rsidRPr="006F5A3B" w:rsidRDefault="00434015" w:rsidP="007F37A0">
      <w:pPr>
        <w:tabs>
          <w:tab w:val="left" w:pos="1134"/>
        </w:tabs>
        <w:spacing w:before="120" w:after="120"/>
        <w:ind w:left="1" w:firstLine="567"/>
        <w:jc w:val="both"/>
        <w:rPr>
          <w:sz w:val="28"/>
          <w:szCs w:val="28"/>
        </w:rPr>
      </w:pPr>
      <w:r w:rsidRPr="006F5A3B">
        <w:rPr>
          <w:sz w:val="28"/>
          <w:szCs w:val="28"/>
        </w:rPr>
        <w:t xml:space="preserve">додаткової дотації з державного бюджету </w:t>
      </w:r>
      <w:proofErr w:type="spellStart"/>
      <w:r w:rsidRPr="006F5A3B">
        <w:rPr>
          <w:sz w:val="28"/>
          <w:szCs w:val="28"/>
        </w:rPr>
        <w:t>бюджету</w:t>
      </w:r>
      <w:proofErr w:type="spellEnd"/>
      <w:r w:rsidRPr="006F5A3B">
        <w:rPr>
          <w:sz w:val="28"/>
          <w:szCs w:val="28"/>
        </w:rPr>
        <w:t xml:space="preserve"> </w:t>
      </w:r>
      <w:proofErr w:type="spellStart"/>
      <w:r w:rsidRPr="006F5A3B">
        <w:rPr>
          <w:sz w:val="28"/>
          <w:szCs w:val="28"/>
        </w:rPr>
        <w:t>Славутицької</w:t>
      </w:r>
      <w:proofErr w:type="spellEnd"/>
      <w:r w:rsidRPr="006F5A3B">
        <w:rPr>
          <w:sz w:val="28"/>
          <w:szCs w:val="28"/>
        </w:rPr>
        <w:t xml:space="preserve"> міської територіальної громади на забезпечення утримання соціальної інфраструктури міста Славутича – 25 млн гр</w:t>
      </w:r>
      <w:r w:rsidR="00891F2C">
        <w:rPr>
          <w:sz w:val="28"/>
          <w:szCs w:val="28"/>
        </w:rPr>
        <w:t>иве</w:t>
      </w:r>
      <w:r w:rsidRPr="006F5A3B">
        <w:rPr>
          <w:sz w:val="28"/>
          <w:szCs w:val="28"/>
        </w:rPr>
        <w:t>н</w:t>
      </w:r>
      <w:r w:rsidR="00891F2C">
        <w:rPr>
          <w:sz w:val="28"/>
          <w:szCs w:val="28"/>
        </w:rPr>
        <w:t>ь</w:t>
      </w:r>
      <w:r w:rsidRPr="006F5A3B">
        <w:rPr>
          <w:sz w:val="28"/>
          <w:szCs w:val="28"/>
        </w:rPr>
        <w:t>.</w:t>
      </w:r>
    </w:p>
    <w:p w14:paraId="5F3EE503" w14:textId="77777777" w:rsidR="00434015" w:rsidRPr="006F5A3B" w:rsidRDefault="00434015" w:rsidP="007F37A0">
      <w:pPr>
        <w:tabs>
          <w:tab w:val="left" w:pos="993"/>
          <w:tab w:val="left" w:pos="1134"/>
        </w:tabs>
        <w:spacing w:before="120" w:after="120"/>
        <w:ind w:firstLine="567"/>
        <w:jc w:val="both"/>
        <w:rPr>
          <w:color w:val="000000"/>
          <w:sz w:val="28"/>
          <w:szCs w:val="28"/>
          <w:lang w:eastAsia="uk-UA"/>
        </w:rPr>
      </w:pPr>
      <w:r w:rsidRPr="006F5A3B">
        <w:rPr>
          <w:color w:val="000000"/>
          <w:sz w:val="28"/>
          <w:szCs w:val="28"/>
          <w:lang w:eastAsia="uk-UA"/>
        </w:rPr>
        <w:t>При доопрацюванні законопроекту в межах загального обсягу міжбюджетних трансфертів здійснено розподіл між місцевими бюджетами:</w:t>
      </w:r>
    </w:p>
    <w:p w14:paraId="0AE48952" w14:textId="77777777" w:rsidR="00434015" w:rsidRPr="006F5A3B" w:rsidRDefault="00434015" w:rsidP="007F37A0">
      <w:pPr>
        <w:tabs>
          <w:tab w:val="left" w:pos="993"/>
          <w:tab w:val="left" w:pos="1134"/>
        </w:tabs>
        <w:spacing w:before="120" w:after="120"/>
        <w:ind w:firstLine="567"/>
        <w:jc w:val="both"/>
        <w:rPr>
          <w:sz w:val="28"/>
          <w:szCs w:val="28"/>
          <w:lang w:eastAsia="uk-UA"/>
        </w:rPr>
      </w:pPr>
      <w:r w:rsidRPr="006F5A3B">
        <w:rPr>
          <w:sz w:val="28"/>
          <w:szCs w:val="28"/>
          <w:lang w:eastAsia="uk-UA"/>
        </w:rPr>
        <w:t>освітньої субвенції –</w:t>
      </w:r>
      <w:r w:rsidRPr="006F5A3B">
        <w:rPr>
          <w:sz w:val="28"/>
          <w:szCs w:val="28"/>
          <w:lang w:val="ru-RU" w:eastAsia="uk-UA"/>
        </w:rPr>
        <w:t xml:space="preserve"> </w:t>
      </w:r>
      <w:r w:rsidRPr="006F5A3B">
        <w:rPr>
          <w:sz w:val="28"/>
          <w:szCs w:val="28"/>
          <w:lang w:eastAsia="uk-UA"/>
        </w:rPr>
        <w:t>відповідно до статті 103</w:t>
      </w:r>
      <w:r w:rsidRPr="006F5A3B">
        <w:rPr>
          <w:sz w:val="28"/>
          <w:szCs w:val="28"/>
          <w:vertAlign w:val="superscript"/>
          <w:lang w:val="ru-RU" w:eastAsia="uk-UA"/>
        </w:rPr>
        <w:t>2</w:t>
      </w:r>
      <w:r w:rsidRPr="006F5A3B">
        <w:rPr>
          <w:sz w:val="28"/>
          <w:szCs w:val="28"/>
          <w:lang w:eastAsia="uk-UA"/>
        </w:rPr>
        <w:t xml:space="preserve"> Бюджетного кодексу України</w:t>
      </w:r>
      <w:r w:rsidR="00C3260D">
        <w:rPr>
          <w:sz w:val="28"/>
          <w:szCs w:val="28"/>
          <w:lang w:eastAsia="uk-UA"/>
        </w:rPr>
        <w:t>;</w:t>
      </w:r>
    </w:p>
    <w:p w14:paraId="7C74D179" w14:textId="77777777" w:rsidR="00434015" w:rsidRPr="006F5A3B" w:rsidRDefault="00434015" w:rsidP="007F37A0">
      <w:pPr>
        <w:tabs>
          <w:tab w:val="left" w:pos="993"/>
          <w:tab w:val="left" w:pos="1134"/>
        </w:tabs>
        <w:spacing w:before="120" w:after="120"/>
        <w:ind w:firstLine="567"/>
        <w:jc w:val="both"/>
        <w:rPr>
          <w:sz w:val="28"/>
          <w:szCs w:val="28"/>
        </w:rPr>
      </w:pPr>
      <w:r w:rsidRPr="006F5A3B">
        <w:rPr>
          <w:sz w:val="28"/>
          <w:szCs w:val="28"/>
        </w:rPr>
        <w:t xml:space="preserve">частини додаткової дотації на здійснення повноважень органів місцевого самоврядування на </w:t>
      </w:r>
      <w:proofErr w:type="spellStart"/>
      <w:r w:rsidRPr="006F5A3B">
        <w:rPr>
          <w:sz w:val="28"/>
          <w:szCs w:val="28"/>
        </w:rPr>
        <w:t>деокупованих</w:t>
      </w:r>
      <w:proofErr w:type="spellEnd"/>
      <w:r w:rsidRPr="006F5A3B">
        <w:rPr>
          <w:sz w:val="28"/>
          <w:szCs w:val="28"/>
        </w:rPr>
        <w:t>, тимчасово окупованих та інших територіях, що зазнали негативного впливу у зв’язку з повномасштабною збройною агресією Російської Федерації в обсязі 13 14</w:t>
      </w:r>
      <w:r w:rsidR="0040506F">
        <w:rPr>
          <w:sz w:val="28"/>
          <w:szCs w:val="28"/>
        </w:rPr>
        <w:t>4,1 </w:t>
      </w:r>
      <w:r w:rsidRPr="006F5A3B">
        <w:rPr>
          <w:sz w:val="28"/>
          <w:szCs w:val="28"/>
        </w:rPr>
        <w:t>млн грн для компенсації зменшення ресурсу загального фонду місцевих бюджетів у 2024 році порівняно з 2021 роком у зв’язку із зарахуванням у 2024 році частини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(перераховується) згідно з Податковим кодексом України на відповідній території України, до державного бюджету.</w:t>
      </w:r>
    </w:p>
    <w:p w14:paraId="28950220" w14:textId="77777777" w:rsidR="00434015" w:rsidRPr="006F5A3B" w:rsidRDefault="00434015" w:rsidP="007F37A0">
      <w:pPr>
        <w:tabs>
          <w:tab w:val="left" w:pos="993"/>
          <w:tab w:val="left" w:pos="1134"/>
        </w:tabs>
        <w:spacing w:before="120" w:after="120"/>
        <w:ind w:firstLine="567"/>
        <w:jc w:val="both"/>
        <w:rPr>
          <w:color w:val="000000"/>
          <w:sz w:val="28"/>
          <w:szCs w:val="28"/>
          <w:lang w:eastAsia="uk-UA"/>
        </w:rPr>
      </w:pPr>
      <w:r w:rsidRPr="006F5A3B">
        <w:rPr>
          <w:color w:val="000000"/>
          <w:sz w:val="28"/>
          <w:szCs w:val="28"/>
          <w:lang w:eastAsia="uk-UA"/>
        </w:rPr>
        <w:t>Розрахунок здійснено за надходженням податку на доходи фізичних осіб, обсягу базової та реверсної дотацій (по обласних бюджетах – за надходженням податку на доходи фізичних осіб) у 2021 році до очікуваного в</w:t>
      </w:r>
      <w:r w:rsidR="00A01A9C">
        <w:rPr>
          <w:color w:val="000000"/>
          <w:sz w:val="28"/>
          <w:szCs w:val="28"/>
          <w:lang w:eastAsia="uk-UA"/>
        </w:rPr>
        <w:t>ідповідного ресурсу у 2024 році.</w:t>
      </w:r>
    </w:p>
    <w:p w14:paraId="777F4024" w14:textId="77777777" w:rsidR="00434015" w:rsidRPr="006F5A3B" w:rsidRDefault="00434015" w:rsidP="007F37A0">
      <w:pPr>
        <w:tabs>
          <w:tab w:val="left" w:pos="993"/>
          <w:tab w:val="left" w:pos="1134"/>
        </w:tabs>
        <w:spacing w:before="120" w:after="120"/>
        <w:ind w:firstLine="567"/>
        <w:jc w:val="both"/>
        <w:rPr>
          <w:color w:val="000000"/>
          <w:sz w:val="28"/>
          <w:szCs w:val="28"/>
          <w:lang w:eastAsia="uk-UA"/>
        </w:rPr>
      </w:pPr>
      <w:r w:rsidRPr="006F5A3B">
        <w:rPr>
          <w:color w:val="000000"/>
          <w:sz w:val="28"/>
          <w:szCs w:val="28"/>
          <w:lang w:eastAsia="uk-UA"/>
        </w:rPr>
        <w:t>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здоров’я між обласними бюджетами відповідно до кількісті учнів закладів загальної середньої та професійної (професійно-технічної) освіти, наданої листом Міністерства освіти і науки України від 27.10.2023 № №</w:t>
      </w:r>
      <w:r w:rsidR="00C3260D">
        <w:rPr>
          <w:color w:val="000000"/>
          <w:sz w:val="28"/>
          <w:szCs w:val="28"/>
          <w:lang w:eastAsia="uk-UA"/>
        </w:rPr>
        <w:t> </w:t>
      </w:r>
      <w:r w:rsidRPr="006F5A3B">
        <w:rPr>
          <w:color w:val="000000"/>
          <w:sz w:val="28"/>
          <w:szCs w:val="28"/>
          <w:lang w:eastAsia="uk-UA"/>
        </w:rPr>
        <w:t>1/16768-23.</w:t>
      </w:r>
    </w:p>
    <w:p w14:paraId="67CC9FF5" w14:textId="77777777" w:rsidR="00434015" w:rsidRPr="006F5A3B" w:rsidRDefault="00434015" w:rsidP="007F37A0">
      <w:pPr>
        <w:tabs>
          <w:tab w:val="left" w:pos="993"/>
          <w:tab w:val="left" w:pos="1134"/>
        </w:tabs>
        <w:spacing w:before="120" w:after="120"/>
        <w:ind w:firstLine="567"/>
        <w:jc w:val="both"/>
        <w:rPr>
          <w:color w:val="000000"/>
          <w:sz w:val="28"/>
          <w:szCs w:val="28"/>
          <w:lang w:eastAsia="uk-UA"/>
        </w:rPr>
      </w:pPr>
      <w:r w:rsidRPr="006F5A3B">
        <w:rPr>
          <w:color w:val="000000"/>
          <w:sz w:val="28"/>
          <w:szCs w:val="28"/>
          <w:lang w:eastAsia="uk-UA"/>
        </w:rPr>
        <w:t>Також, як виняток з положень абзацу п’ятого частини третьої статті 98 та абзацу п’ятого частини третьої статті</w:t>
      </w:r>
      <w:r w:rsidR="0040506F">
        <w:rPr>
          <w:color w:val="000000"/>
          <w:sz w:val="28"/>
          <w:szCs w:val="28"/>
          <w:lang w:eastAsia="uk-UA"/>
        </w:rPr>
        <w:t xml:space="preserve"> 99 Бюджетного кодексу України,</w:t>
      </w:r>
      <w:r w:rsidRPr="006F5A3B">
        <w:rPr>
          <w:color w:val="000000"/>
          <w:sz w:val="28"/>
          <w:szCs w:val="28"/>
          <w:lang w:eastAsia="uk-UA"/>
        </w:rPr>
        <w:t xml:space="preserve"> реверсна </w:t>
      </w:r>
      <w:r w:rsidRPr="006F5A3B">
        <w:rPr>
          <w:color w:val="000000"/>
          <w:sz w:val="28"/>
          <w:szCs w:val="28"/>
          <w:lang w:eastAsia="uk-UA"/>
        </w:rPr>
        <w:lastRenderedPageBreak/>
        <w:t>дотація у 2024 році в обсязі 14 093,1</w:t>
      </w:r>
      <w:r w:rsidR="004D0554">
        <w:rPr>
          <w:color w:val="000000"/>
          <w:sz w:val="28"/>
          <w:szCs w:val="28"/>
          <w:lang w:eastAsia="uk-UA"/>
        </w:rPr>
        <w:t> </w:t>
      </w:r>
      <w:r w:rsidRPr="006F5A3B">
        <w:rPr>
          <w:sz w:val="28"/>
          <w:szCs w:val="28"/>
        </w:rPr>
        <w:t xml:space="preserve">млн грн </w:t>
      </w:r>
      <w:r w:rsidRPr="006F5A3B">
        <w:rPr>
          <w:color w:val="000000"/>
          <w:sz w:val="28"/>
          <w:szCs w:val="28"/>
          <w:lang w:eastAsia="uk-UA"/>
        </w:rPr>
        <w:t>до державного бюджету не перераховуватиметься.</w:t>
      </w:r>
    </w:p>
    <w:p w14:paraId="30217603" w14:textId="77777777" w:rsidR="00434015" w:rsidRPr="006F5A3B" w:rsidRDefault="00434015" w:rsidP="007F37A0">
      <w:pPr>
        <w:tabs>
          <w:tab w:val="left" w:pos="993"/>
          <w:tab w:val="left" w:pos="1134"/>
        </w:tabs>
        <w:spacing w:before="120" w:after="120"/>
        <w:ind w:firstLine="567"/>
        <w:jc w:val="both"/>
        <w:rPr>
          <w:color w:val="000000"/>
          <w:sz w:val="28"/>
          <w:szCs w:val="28"/>
          <w:lang w:eastAsia="uk-UA"/>
        </w:rPr>
      </w:pPr>
      <w:r w:rsidRPr="006F5A3B">
        <w:rPr>
          <w:color w:val="000000"/>
          <w:sz w:val="28"/>
          <w:szCs w:val="28"/>
          <w:lang w:eastAsia="uk-UA"/>
        </w:rPr>
        <w:t xml:space="preserve">У зв’язку з уточненням назви та зміною обсягів міжбюджетних трансфертів з державного бюджету місцевим бюджетам на 2024 рік при доопрацюванні уточнено додаток № 5 та додаток № 6 до законопроекту. </w:t>
      </w:r>
    </w:p>
    <w:p w14:paraId="0EB91C2C" w14:textId="77777777" w:rsidR="00274B76" w:rsidRPr="006F5A3B" w:rsidRDefault="00274B76" w:rsidP="00434015">
      <w:pPr>
        <w:widowControl w:val="0"/>
        <w:spacing w:after="120"/>
        <w:ind w:left="40" w:right="60" w:firstLine="709"/>
        <w:jc w:val="both"/>
        <w:rPr>
          <w:sz w:val="28"/>
          <w:szCs w:val="28"/>
          <w:highlight w:val="lightGray"/>
        </w:rPr>
      </w:pPr>
    </w:p>
    <w:tbl>
      <w:tblPr>
        <w:tblStyle w:val="af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05"/>
      </w:tblGrid>
      <w:tr w:rsidR="00F02B37" w:rsidRPr="00A01A9C" w14:paraId="49C54A4E" w14:textId="77777777" w:rsidTr="00F02B37">
        <w:tc>
          <w:tcPr>
            <w:tcW w:w="1413" w:type="dxa"/>
          </w:tcPr>
          <w:p w14:paraId="6E7A779C" w14:textId="77777777" w:rsidR="00F02B37" w:rsidRPr="00A01A9C" w:rsidRDefault="00F02B37" w:rsidP="00971D2C">
            <w:pPr>
              <w:pStyle w:val="a5"/>
              <w:tabs>
                <w:tab w:val="left" w:pos="9180"/>
              </w:tabs>
              <w:spacing w:after="80"/>
              <w:ind w:left="0"/>
              <w:jc w:val="both"/>
              <w:rPr>
                <w:b/>
                <w:sz w:val="28"/>
                <w:szCs w:val="28"/>
              </w:rPr>
            </w:pPr>
            <w:r w:rsidRPr="00A01A9C">
              <w:rPr>
                <w:b/>
                <w:sz w:val="28"/>
                <w:szCs w:val="28"/>
              </w:rPr>
              <w:t>Міністр</w:t>
            </w:r>
          </w:p>
        </w:tc>
        <w:tc>
          <w:tcPr>
            <w:tcW w:w="8505" w:type="dxa"/>
          </w:tcPr>
          <w:p w14:paraId="6B4B7B47" w14:textId="77777777" w:rsidR="00F02B37" w:rsidRPr="00A01A9C" w:rsidRDefault="00F02B37" w:rsidP="00F02B37">
            <w:pPr>
              <w:pStyle w:val="a5"/>
              <w:tabs>
                <w:tab w:val="left" w:pos="9180"/>
              </w:tabs>
              <w:spacing w:after="80"/>
              <w:ind w:left="0"/>
              <w:jc w:val="right"/>
              <w:rPr>
                <w:b/>
                <w:sz w:val="28"/>
                <w:szCs w:val="28"/>
              </w:rPr>
            </w:pPr>
            <w:r w:rsidRPr="00A01A9C">
              <w:rPr>
                <w:b/>
                <w:sz w:val="28"/>
                <w:szCs w:val="28"/>
              </w:rPr>
              <w:t>Сергій МАРЧЕНКО</w:t>
            </w:r>
          </w:p>
        </w:tc>
      </w:tr>
    </w:tbl>
    <w:p w14:paraId="30C06163" w14:textId="77777777" w:rsidR="008010CC" w:rsidRPr="006F5A3B" w:rsidRDefault="008010CC" w:rsidP="00274B76">
      <w:pPr>
        <w:tabs>
          <w:tab w:val="left" w:pos="9180"/>
        </w:tabs>
        <w:spacing w:after="80"/>
        <w:jc w:val="both"/>
        <w:rPr>
          <w:sz w:val="28"/>
          <w:szCs w:val="28"/>
        </w:rPr>
      </w:pPr>
    </w:p>
    <w:sectPr w:rsidR="008010CC" w:rsidRPr="006F5A3B" w:rsidSect="00274B76">
      <w:headerReference w:type="even" r:id="rId10"/>
      <w:headerReference w:type="default" r:id="rId11"/>
      <w:footerReference w:type="even" r:id="rId12"/>
      <w:footerReference w:type="default" r:id="rId13"/>
      <w:footerReference w:type="first" r:id="rId14"/>
      <w:pgSz w:w="11906" w:h="16838" w:code="9"/>
      <w:pgMar w:top="1134" w:right="567" w:bottom="992"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8424" w14:textId="77777777" w:rsidR="008073ED" w:rsidRDefault="008073ED">
      <w:r>
        <w:separator/>
      </w:r>
    </w:p>
  </w:endnote>
  <w:endnote w:type="continuationSeparator" w:id="0">
    <w:p w14:paraId="4DCF6AE9" w14:textId="77777777" w:rsidR="008073ED" w:rsidRDefault="008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EB72" w14:textId="77777777" w:rsidR="007B7975" w:rsidRPr="009B7782" w:rsidRDefault="007B7975" w:rsidP="00431928">
    <w:pPr>
      <w:pStyle w:val="aa"/>
      <w:framePr w:wrap="around" w:vAnchor="text" w:hAnchor="margin" w:xAlign="center" w:y="1"/>
      <w:rPr>
        <w:rStyle w:val="a9"/>
        <w:sz w:val="23"/>
        <w:szCs w:val="23"/>
      </w:rPr>
    </w:pPr>
    <w:r w:rsidRPr="009B7782">
      <w:rPr>
        <w:rStyle w:val="a9"/>
        <w:sz w:val="23"/>
        <w:szCs w:val="23"/>
      </w:rPr>
      <w:fldChar w:fldCharType="begin"/>
    </w:r>
    <w:r w:rsidRPr="009B7782">
      <w:rPr>
        <w:rStyle w:val="a9"/>
        <w:sz w:val="23"/>
        <w:szCs w:val="23"/>
      </w:rPr>
      <w:instrText xml:space="preserve">PAGE  </w:instrText>
    </w:r>
    <w:r w:rsidRPr="009B7782">
      <w:rPr>
        <w:rStyle w:val="a9"/>
        <w:sz w:val="23"/>
        <w:szCs w:val="23"/>
      </w:rPr>
      <w:fldChar w:fldCharType="end"/>
    </w:r>
  </w:p>
  <w:p w14:paraId="30D5214C" w14:textId="77777777" w:rsidR="007B7975" w:rsidRPr="009B7782" w:rsidRDefault="007B7975" w:rsidP="00431928">
    <w:pPr>
      <w:pStyle w:val="a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CC83" w14:textId="77777777" w:rsidR="007B7975" w:rsidRPr="009B7782" w:rsidRDefault="007B7975" w:rsidP="00431928">
    <w:pPr>
      <w:pStyle w:val="aa"/>
      <w:framePr w:wrap="around" w:vAnchor="text" w:hAnchor="margin" w:xAlign="center" w:y="1"/>
      <w:rPr>
        <w:rStyle w:val="a9"/>
        <w:sz w:val="23"/>
        <w:szCs w:val="23"/>
      </w:rPr>
    </w:pPr>
  </w:p>
  <w:p w14:paraId="40319149" w14:textId="77777777" w:rsidR="007B7975" w:rsidRPr="009B7782" w:rsidRDefault="007B7975" w:rsidP="00540FE2">
    <w:pPr>
      <w:pStyle w:val="aa"/>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D35" w14:textId="77777777" w:rsidR="00274B76" w:rsidRDefault="00274B76">
    <w:pPr>
      <w:pStyle w:val="aa"/>
    </w:pPr>
  </w:p>
  <w:p w14:paraId="3EAB701F" w14:textId="77777777" w:rsidR="00274B76" w:rsidRDefault="00274B76">
    <w:pPr>
      <w:pStyle w:val="aa"/>
    </w:pPr>
  </w:p>
  <w:p w14:paraId="51F9353E" w14:textId="77777777" w:rsidR="00274B76" w:rsidRDefault="00274B76">
    <w:pPr>
      <w:pStyle w:val="aa"/>
    </w:pPr>
  </w:p>
  <w:p w14:paraId="607C7F83" w14:textId="77777777" w:rsidR="00274B76" w:rsidRDefault="00274B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DEA4" w14:textId="77777777" w:rsidR="008073ED" w:rsidRDefault="008073ED">
      <w:r>
        <w:separator/>
      </w:r>
    </w:p>
  </w:footnote>
  <w:footnote w:type="continuationSeparator" w:id="0">
    <w:p w14:paraId="089C6349" w14:textId="77777777" w:rsidR="008073ED" w:rsidRDefault="0080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A98" w14:textId="77777777" w:rsidR="007B7975" w:rsidRPr="009B7782" w:rsidRDefault="007B7975" w:rsidP="00431928">
    <w:pPr>
      <w:pStyle w:val="a7"/>
      <w:framePr w:wrap="around" w:vAnchor="text" w:hAnchor="margin" w:xAlign="center" w:y="1"/>
      <w:rPr>
        <w:rStyle w:val="a9"/>
        <w:sz w:val="23"/>
        <w:szCs w:val="23"/>
      </w:rPr>
    </w:pPr>
    <w:r w:rsidRPr="009B7782">
      <w:rPr>
        <w:rStyle w:val="a9"/>
        <w:sz w:val="23"/>
        <w:szCs w:val="23"/>
      </w:rPr>
      <w:fldChar w:fldCharType="begin"/>
    </w:r>
    <w:r w:rsidRPr="009B7782">
      <w:rPr>
        <w:rStyle w:val="a9"/>
        <w:sz w:val="23"/>
        <w:szCs w:val="23"/>
      </w:rPr>
      <w:instrText xml:space="preserve">PAGE  </w:instrText>
    </w:r>
    <w:r w:rsidRPr="009B7782">
      <w:rPr>
        <w:rStyle w:val="a9"/>
        <w:sz w:val="23"/>
        <w:szCs w:val="23"/>
      </w:rPr>
      <w:fldChar w:fldCharType="end"/>
    </w:r>
  </w:p>
  <w:p w14:paraId="6855FE25" w14:textId="77777777" w:rsidR="007B7975" w:rsidRPr="009B7782" w:rsidRDefault="007B7975">
    <w:pPr>
      <w:pStyle w:val="a7"/>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AE79" w14:textId="77777777" w:rsidR="007B7975" w:rsidRPr="009B7782" w:rsidRDefault="007B7975" w:rsidP="00431928">
    <w:pPr>
      <w:pStyle w:val="a7"/>
      <w:framePr w:wrap="around" w:vAnchor="text" w:hAnchor="margin" w:xAlign="center" w:y="1"/>
      <w:rPr>
        <w:rStyle w:val="a9"/>
        <w:sz w:val="23"/>
        <w:szCs w:val="23"/>
      </w:rPr>
    </w:pPr>
    <w:r w:rsidRPr="009B7782">
      <w:rPr>
        <w:rStyle w:val="a9"/>
        <w:sz w:val="23"/>
        <w:szCs w:val="23"/>
      </w:rPr>
      <w:fldChar w:fldCharType="begin"/>
    </w:r>
    <w:r w:rsidRPr="009B7782">
      <w:rPr>
        <w:rStyle w:val="a9"/>
        <w:sz w:val="23"/>
        <w:szCs w:val="23"/>
      </w:rPr>
      <w:instrText xml:space="preserve">PAGE  </w:instrText>
    </w:r>
    <w:r w:rsidRPr="009B7782">
      <w:rPr>
        <w:rStyle w:val="a9"/>
        <w:sz w:val="23"/>
        <w:szCs w:val="23"/>
      </w:rPr>
      <w:fldChar w:fldCharType="separate"/>
    </w:r>
    <w:r w:rsidR="00637DC8">
      <w:rPr>
        <w:rStyle w:val="a9"/>
        <w:noProof/>
        <w:sz w:val="23"/>
        <w:szCs w:val="23"/>
      </w:rPr>
      <w:t>2</w:t>
    </w:r>
    <w:r w:rsidRPr="009B7782">
      <w:rPr>
        <w:rStyle w:val="a9"/>
        <w:sz w:val="23"/>
        <w:szCs w:val="23"/>
      </w:rPr>
      <w:fldChar w:fldCharType="end"/>
    </w:r>
  </w:p>
  <w:p w14:paraId="773A10E6" w14:textId="77777777" w:rsidR="007B7975" w:rsidRPr="009B7782" w:rsidRDefault="007B7975" w:rsidP="00431928">
    <w:pPr>
      <w:pStyle w:val="a7"/>
      <w:framePr w:wrap="around" w:vAnchor="text" w:hAnchor="page" w:x="6572" w:y="-3"/>
      <w:rPr>
        <w:rStyle w:val="a9"/>
        <w:sz w:val="23"/>
        <w:szCs w:val="23"/>
      </w:rPr>
    </w:pPr>
  </w:p>
  <w:p w14:paraId="09A7498F" w14:textId="77777777" w:rsidR="007B7975" w:rsidRPr="009B7782" w:rsidRDefault="007B7975">
    <w:pPr>
      <w:pStyle w:val="a7"/>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44578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36D2533"/>
    <w:multiLevelType w:val="hybridMultilevel"/>
    <w:tmpl w:val="F4364A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6B2F32"/>
    <w:multiLevelType w:val="hybridMultilevel"/>
    <w:tmpl w:val="B5FCF652"/>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67" w:hanging="360"/>
      </w:pPr>
      <w:rPr>
        <w:rFonts w:ascii="Courier New" w:hAnsi="Courier New" w:cs="Courier New" w:hint="default"/>
      </w:rPr>
    </w:lvl>
    <w:lvl w:ilvl="2" w:tplc="04220005" w:tentative="1">
      <w:start w:val="1"/>
      <w:numFmt w:val="bullet"/>
      <w:lvlText w:val=""/>
      <w:lvlJc w:val="left"/>
      <w:pPr>
        <w:ind w:left="2687" w:hanging="360"/>
      </w:pPr>
      <w:rPr>
        <w:rFonts w:ascii="Wingdings" w:hAnsi="Wingdings" w:hint="default"/>
      </w:rPr>
    </w:lvl>
    <w:lvl w:ilvl="3" w:tplc="04220001" w:tentative="1">
      <w:start w:val="1"/>
      <w:numFmt w:val="bullet"/>
      <w:lvlText w:val=""/>
      <w:lvlJc w:val="left"/>
      <w:pPr>
        <w:ind w:left="3407" w:hanging="360"/>
      </w:pPr>
      <w:rPr>
        <w:rFonts w:ascii="Symbol" w:hAnsi="Symbol" w:hint="default"/>
      </w:rPr>
    </w:lvl>
    <w:lvl w:ilvl="4" w:tplc="04220003" w:tentative="1">
      <w:start w:val="1"/>
      <w:numFmt w:val="bullet"/>
      <w:lvlText w:val="o"/>
      <w:lvlJc w:val="left"/>
      <w:pPr>
        <w:ind w:left="4127" w:hanging="360"/>
      </w:pPr>
      <w:rPr>
        <w:rFonts w:ascii="Courier New" w:hAnsi="Courier New" w:cs="Courier New" w:hint="default"/>
      </w:rPr>
    </w:lvl>
    <w:lvl w:ilvl="5" w:tplc="04220005" w:tentative="1">
      <w:start w:val="1"/>
      <w:numFmt w:val="bullet"/>
      <w:lvlText w:val=""/>
      <w:lvlJc w:val="left"/>
      <w:pPr>
        <w:ind w:left="4847" w:hanging="360"/>
      </w:pPr>
      <w:rPr>
        <w:rFonts w:ascii="Wingdings" w:hAnsi="Wingdings" w:hint="default"/>
      </w:rPr>
    </w:lvl>
    <w:lvl w:ilvl="6" w:tplc="04220001" w:tentative="1">
      <w:start w:val="1"/>
      <w:numFmt w:val="bullet"/>
      <w:lvlText w:val=""/>
      <w:lvlJc w:val="left"/>
      <w:pPr>
        <w:ind w:left="5567" w:hanging="360"/>
      </w:pPr>
      <w:rPr>
        <w:rFonts w:ascii="Symbol" w:hAnsi="Symbol" w:hint="default"/>
      </w:rPr>
    </w:lvl>
    <w:lvl w:ilvl="7" w:tplc="04220003" w:tentative="1">
      <w:start w:val="1"/>
      <w:numFmt w:val="bullet"/>
      <w:lvlText w:val="o"/>
      <w:lvlJc w:val="left"/>
      <w:pPr>
        <w:ind w:left="6287" w:hanging="360"/>
      </w:pPr>
      <w:rPr>
        <w:rFonts w:ascii="Courier New" w:hAnsi="Courier New" w:cs="Courier New" w:hint="default"/>
      </w:rPr>
    </w:lvl>
    <w:lvl w:ilvl="8" w:tplc="04220005" w:tentative="1">
      <w:start w:val="1"/>
      <w:numFmt w:val="bullet"/>
      <w:lvlText w:val=""/>
      <w:lvlJc w:val="left"/>
      <w:pPr>
        <w:ind w:left="7007" w:hanging="360"/>
      </w:pPr>
      <w:rPr>
        <w:rFonts w:ascii="Wingdings" w:hAnsi="Wingdings" w:hint="default"/>
      </w:rPr>
    </w:lvl>
  </w:abstractNum>
  <w:abstractNum w:abstractNumId="3" w15:restartNumberingAfterBreak="0">
    <w:nsid w:val="0CF13A5B"/>
    <w:multiLevelType w:val="hybridMultilevel"/>
    <w:tmpl w:val="8BCC75B0"/>
    <w:lvl w:ilvl="0" w:tplc="767297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FA00F3F"/>
    <w:multiLevelType w:val="hybridMultilevel"/>
    <w:tmpl w:val="1424ED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4D3897"/>
    <w:multiLevelType w:val="multilevel"/>
    <w:tmpl w:val="75C81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204CC"/>
    <w:multiLevelType w:val="hybridMultilevel"/>
    <w:tmpl w:val="BE6E2F90"/>
    <w:lvl w:ilvl="0" w:tplc="17DCA1A4">
      <w:numFmt w:val="bullet"/>
      <w:lvlText w:val="–"/>
      <w:lvlJc w:val="left"/>
      <w:pPr>
        <w:ind w:left="887" w:hanging="360"/>
      </w:pPr>
      <w:rPr>
        <w:rFonts w:ascii="Times New Roman" w:eastAsia="Times New Roman" w:hAnsi="Times New Roman" w:cs="Times New Roman" w:hint="default"/>
      </w:rPr>
    </w:lvl>
    <w:lvl w:ilvl="1" w:tplc="04220003" w:tentative="1">
      <w:start w:val="1"/>
      <w:numFmt w:val="bullet"/>
      <w:lvlText w:val="o"/>
      <w:lvlJc w:val="left"/>
      <w:pPr>
        <w:ind w:left="1607" w:hanging="360"/>
      </w:pPr>
      <w:rPr>
        <w:rFonts w:ascii="Courier New" w:hAnsi="Courier New" w:cs="Courier New" w:hint="default"/>
      </w:rPr>
    </w:lvl>
    <w:lvl w:ilvl="2" w:tplc="04220005" w:tentative="1">
      <w:start w:val="1"/>
      <w:numFmt w:val="bullet"/>
      <w:lvlText w:val=""/>
      <w:lvlJc w:val="left"/>
      <w:pPr>
        <w:ind w:left="2327" w:hanging="360"/>
      </w:pPr>
      <w:rPr>
        <w:rFonts w:ascii="Wingdings" w:hAnsi="Wingdings" w:hint="default"/>
      </w:rPr>
    </w:lvl>
    <w:lvl w:ilvl="3" w:tplc="04220001" w:tentative="1">
      <w:start w:val="1"/>
      <w:numFmt w:val="bullet"/>
      <w:lvlText w:val=""/>
      <w:lvlJc w:val="left"/>
      <w:pPr>
        <w:ind w:left="3047" w:hanging="360"/>
      </w:pPr>
      <w:rPr>
        <w:rFonts w:ascii="Symbol" w:hAnsi="Symbol" w:hint="default"/>
      </w:rPr>
    </w:lvl>
    <w:lvl w:ilvl="4" w:tplc="04220003" w:tentative="1">
      <w:start w:val="1"/>
      <w:numFmt w:val="bullet"/>
      <w:lvlText w:val="o"/>
      <w:lvlJc w:val="left"/>
      <w:pPr>
        <w:ind w:left="3767" w:hanging="360"/>
      </w:pPr>
      <w:rPr>
        <w:rFonts w:ascii="Courier New" w:hAnsi="Courier New" w:cs="Courier New" w:hint="default"/>
      </w:rPr>
    </w:lvl>
    <w:lvl w:ilvl="5" w:tplc="04220005" w:tentative="1">
      <w:start w:val="1"/>
      <w:numFmt w:val="bullet"/>
      <w:lvlText w:val=""/>
      <w:lvlJc w:val="left"/>
      <w:pPr>
        <w:ind w:left="4487" w:hanging="360"/>
      </w:pPr>
      <w:rPr>
        <w:rFonts w:ascii="Wingdings" w:hAnsi="Wingdings" w:hint="default"/>
      </w:rPr>
    </w:lvl>
    <w:lvl w:ilvl="6" w:tplc="04220001" w:tentative="1">
      <w:start w:val="1"/>
      <w:numFmt w:val="bullet"/>
      <w:lvlText w:val=""/>
      <w:lvlJc w:val="left"/>
      <w:pPr>
        <w:ind w:left="5207" w:hanging="360"/>
      </w:pPr>
      <w:rPr>
        <w:rFonts w:ascii="Symbol" w:hAnsi="Symbol" w:hint="default"/>
      </w:rPr>
    </w:lvl>
    <w:lvl w:ilvl="7" w:tplc="04220003" w:tentative="1">
      <w:start w:val="1"/>
      <w:numFmt w:val="bullet"/>
      <w:lvlText w:val="o"/>
      <w:lvlJc w:val="left"/>
      <w:pPr>
        <w:ind w:left="5927" w:hanging="360"/>
      </w:pPr>
      <w:rPr>
        <w:rFonts w:ascii="Courier New" w:hAnsi="Courier New" w:cs="Courier New" w:hint="default"/>
      </w:rPr>
    </w:lvl>
    <w:lvl w:ilvl="8" w:tplc="04220005" w:tentative="1">
      <w:start w:val="1"/>
      <w:numFmt w:val="bullet"/>
      <w:lvlText w:val=""/>
      <w:lvlJc w:val="left"/>
      <w:pPr>
        <w:ind w:left="6647" w:hanging="360"/>
      </w:pPr>
      <w:rPr>
        <w:rFonts w:ascii="Wingdings" w:hAnsi="Wingdings" w:hint="default"/>
      </w:rPr>
    </w:lvl>
  </w:abstractNum>
  <w:abstractNum w:abstractNumId="7" w15:restartNumberingAfterBreak="0">
    <w:nsid w:val="2409137F"/>
    <w:multiLevelType w:val="hybridMultilevel"/>
    <w:tmpl w:val="D3C23940"/>
    <w:lvl w:ilvl="0" w:tplc="7B48DA8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9505C0"/>
    <w:multiLevelType w:val="hybridMultilevel"/>
    <w:tmpl w:val="97DC53CC"/>
    <w:lvl w:ilvl="0" w:tplc="0422000B">
      <w:start w:val="1"/>
      <w:numFmt w:val="bullet"/>
      <w:lvlText w:val=""/>
      <w:lvlJc w:val="left"/>
      <w:pPr>
        <w:ind w:left="1247" w:hanging="360"/>
      </w:pPr>
      <w:rPr>
        <w:rFonts w:ascii="Wingdings" w:hAnsi="Wingdings" w:hint="default"/>
      </w:rPr>
    </w:lvl>
    <w:lvl w:ilvl="1" w:tplc="04220019" w:tentative="1">
      <w:start w:val="1"/>
      <w:numFmt w:val="lowerLetter"/>
      <w:lvlText w:val="%2."/>
      <w:lvlJc w:val="left"/>
      <w:pPr>
        <w:ind w:left="1967" w:hanging="360"/>
      </w:pPr>
    </w:lvl>
    <w:lvl w:ilvl="2" w:tplc="0422001B" w:tentative="1">
      <w:start w:val="1"/>
      <w:numFmt w:val="lowerRoman"/>
      <w:lvlText w:val="%3."/>
      <w:lvlJc w:val="right"/>
      <w:pPr>
        <w:ind w:left="2687" w:hanging="180"/>
      </w:pPr>
    </w:lvl>
    <w:lvl w:ilvl="3" w:tplc="0422000F" w:tentative="1">
      <w:start w:val="1"/>
      <w:numFmt w:val="decimal"/>
      <w:lvlText w:val="%4."/>
      <w:lvlJc w:val="left"/>
      <w:pPr>
        <w:ind w:left="3407" w:hanging="360"/>
      </w:pPr>
    </w:lvl>
    <w:lvl w:ilvl="4" w:tplc="04220019" w:tentative="1">
      <w:start w:val="1"/>
      <w:numFmt w:val="lowerLetter"/>
      <w:lvlText w:val="%5."/>
      <w:lvlJc w:val="left"/>
      <w:pPr>
        <w:ind w:left="4127" w:hanging="360"/>
      </w:pPr>
    </w:lvl>
    <w:lvl w:ilvl="5" w:tplc="0422001B" w:tentative="1">
      <w:start w:val="1"/>
      <w:numFmt w:val="lowerRoman"/>
      <w:lvlText w:val="%6."/>
      <w:lvlJc w:val="right"/>
      <w:pPr>
        <w:ind w:left="4847" w:hanging="180"/>
      </w:pPr>
    </w:lvl>
    <w:lvl w:ilvl="6" w:tplc="0422000F" w:tentative="1">
      <w:start w:val="1"/>
      <w:numFmt w:val="decimal"/>
      <w:lvlText w:val="%7."/>
      <w:lvlJc w:val="left"/>
      <w:pPr>
        <w:ind w:left="5567" w:hanging="360"/>
      </w:pPr>
    </w:lvl>
    <w:lvl w:ilvl="7" w:tplc="04220019" w:tentative="1">
      <w:start w:val="1"/>
      <w:numFmt w:val="lowerLetter"/>
      <w:lvlText w:val="%8."/>
      <w:lvlJc w:val="left"/>
      <w:pPr>
        <w:ind w:left="6287" w:hanging="360"/>
      </w:pPr>
    </w:lvl>
    <w:lvl w:ilvl="8" w:tplc="0422001B" w:tentative="1">
      <w:start w:val="1"/>
      <w:numFmt w:val="lowerRoman"/>
      <w:lvlText w:val="%9."/>
      <w:lvlJc w:val="right"/>
      <w:pPr>
        <w:ind w:left="7007" w:hanging="180"/>
      </w:pPr>
    </w:lvl>
  </w:abstractNum>
  <w:abstractNum w:abstractNumId="9" w15:restartNumberingAfterBreak="0">
    <w:nsid w:val="32D313D2"/>
    <w:multiLevelType w:val="hybridMultilevel"/>
    <w:tmpl w:val="96524BFC"/>
    <w:lvl w:ilvl="0" w:tplc="7EECA53A">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3F20A1E"/>
    <w:multiLevelType w:val="hybridMultilevel"/>
    <w:tmpl w:val="8208D6A6"/>
    <w:lvl w:ilvl="0" w:tplc="526EB276">
      <w:numFmt w:val="bullet"/>
      <w:lvlText w:val="–"/>
      <w:lvlJc w:val="left"/>
      <w:pPr>
        <w:ind w:left="1284" w:hanging="360"/>
      </w:pPr>
      <w:rPr>
        <w:rFonts w:ascii="Times New Roman" w:eastAsia="Times New Roman" w:hAnsi="Times New Roman" w:cs="Times New Roman"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11" w15:restartNumberingAfterBreak="0">
    <w:nsid w:val="33FF68C6"/>
    <w:multiLevelType w:val="hybridMultilevel"/>
    <w:tmpl w:val="74E020B2"/>
    <w:lvl w:ilvl="0" w:tplc="C9904590">
      <w:start w:val="1"/>
      <w:numFmt w:val="bullet"/>
      <w:lvlText w:val=""/>
      <w:lvlJc w:val="left"/>
      <w:pPr>
        <w:ind w:left="2487" w:hanging="360"/>
      </w:pPr>
      <w:rPr>
        <w:rFonts w:ascii="Wingdings" w:hAnsi="Wingdings" w:hint="default"/>
        <w:b w:val="0"/>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36895D23"/>
    <w:multiLevelType w:val="hybridMultilevel"/>
    <w:tmpl w:val="0D60787E"/>
    <w:lvl w:ilvl="0" w:tplc="D7D24366">
      <w:start w:val="2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96B6B41"/>
    <w:multiLevelType w:val="hybridMultilevel"/>
    <w:tmpl w:val="F1B07638"/>
    <w:lvl w:ilvl="0" w:tplc="835CDD8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BA60A27"/>
    <w:multiLevelType w:val="hybridMultilevel"/>
    <w:tmpl w:val="4D30B95C"/>
    <w:lvl w:ilvl="0" w:tplc="6596ACA2">
      <w:numFmt w:val="bullet"/>
      <w:lvlText w:val="-"/>
      <w:lvlJc w:val="left"/>
      <w:pPr>
        <w:ind w:left="3479" w:hanging="360"/>
      </w:pPr>
      <w:rPr>
        <w:rFonts w:ascii="Times New Roman" w:eastAsia="Times New Roman" w:hAnsi="Times New Roman" w:cs="Times New Roman"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abstractNum w:abstractNumId="15" w15:restartNumberingAfterBreak="0">
    <w:nsid w:val="3F6F35BE"/>
    <w:multiLevelType w:val="hybridMultilevel"/>
    <w:tmpl w:val="C6F8A458"/>
    <w:lvl w:ilvl="0" w:tplc="954E6B0C">
      <w:start w:val="1"/>
      <w:numFmt w:val="bullet"/>
      <w:lvlText w:val="­"/>
      <w:lvlJc w:val="left"/>
      <w:pPr>
        <w:ind w:left="2628" w:hanging="360"/>
      </w:pPr>
      <w:rPr>
        <w:rFonts w:ascii="Courier New" w:hAnsi="Courier New"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3FE742AC"/>
    <w:multiLevelType w:val="hybridMultilevel"/>
    <w:tmpl w:val="00D8DAE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7" w15:restartNumberingAfterBreak="0">
    <w:nsid w:val="40CC25DD"/>
    <w:multiLevelType w:val="hybridMultilevel"/>
    <w:tmpl w:val="3F4EF252"/>
    <w:lvl w:ilvl="0" w:tplc="AED0F0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29379D"/>
    <w:multiLevelType w:val="hybridMultilevel"/>
    <w:tmpl w:val="5DF282A4"/>
    <w:lvl w:ilvl="0" w:tplc="56045AAC">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50BE3CD8"/>
    <w:multiLevelType w:val="hybridMultilevel"/>
    <w:tmpl w:val="6276AFCC"/>
    <w:lvl w:ilvl="0" w:tplc="4D8EC378">
      <w:start w:val="1"/>
      <w:numFmt w:val="bullet"/>
      <w:lvlText w:val="-"/>
      <w:lvlJc w:val="left"/>
      <w:pPr>
        <w:ind w:left="1215" w:hanging="360"/>
      </w:pPr>
      <w:rPr>
        <w:rFonts w:ascii="Calibri" w:eastAsiaTheme="minorHAnsi" w:hAnsi="Calibri" w:cs="Calibri"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0" w15:restartNumberingAfterBreak="0">
    <w:nsid w:val="5166089D"/>
    <w:multiLevelType w:val="hybridMultilevel"/>
    <w:tmpl w:val="FECEE236"/>
    <w:lvl w:ilvl="0" w:tplc="E216E244">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1" w15:restartNumberingAfterBreak="0">
    <w:nsid w:val="534D77F2"/>
    <w:multiLevelType w:val="hybridMultilevel"/>
    <w:tmpl w:val="8E4EB09A"/>
    <w:lvl w:ilvl="0" w:tplc="8E0E287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C91DB9"/>
    <w:multiLevelType w:val="hybridMultilevel"/>
    <w:tmpl w:val="9F8076E8"/>
    <w:lvl w:ilvl="0" w:tplc="405A47B6">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5B3D06B3"/>
    <w:multiLevelType w:val="hybridMultilevel"/>
    <w:tmpl w:val="29CC02E8"/>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4" w15:restartNumberingAfterBreak="0">
    <w:nsid w:val="642F3B1C"/>
    <w:multiLevelType w:val="hybridMultilevel"/>
    <w:tmpl w:val="9A7E55A2"/>
    <w:lvl w:ilvl="0" w:tplc="526EB2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64DC13C3"/>
    <w:multiLevelType w:val="hybridMultilevel"/>
    <w:tmpl w:val="41D29AC6"/>
    <w:lvl w:ilvl="0" w:tplc="5FCA414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6AD40525"/>
    <w:multiLevelType w:val="hybridMultilevel"/>
    <w:tmpl w:val="4B28A282"/>
    <w:lvl w:ilvl="0" w:tplc="E1146BF0">
      <w:numFmt w:val="bullet"/>
      <w:lvlText w:val="-"/>
      <w:lvlJc w:val="left"/>
      <w:pPr>
        <w:ind w:left="7165" w:hanging="360"/>
      </w:pPr>
      <w:rPr>
        <w:rFonts w:ascii="Times New Roman" w:eastAsia="Times New Roman" w:hAnsi="Times New Roman" w:cs="Times New Roman" w:hint="default"/>
      </w:rPr>
    </w:lvl>
    <w:lvl w:ilvl="1" w:tplc="04220003" w:tentative="1">
      <w:start w:val="1"/>
      <w:numFmt w:val="bullet"/>
      <w:lvlText w:val="o"/>
      <w:lvlJc w:val="left"/>
      <w:pPr>
        <w:ind w:left="7885" w:hanging="360"/>
      </w:pPr>
      <w:rPr>
        <w:rFonts w:ascii="Courier New" w:hAnsi="Courier New" w:cs="Courier New" w:hint="default"/>
      </w:rPr>
    </w:lvl>
    <w:lvl w:ilvl="2" w:tplc="04220005" w:tentative="1">
      <w:start w:val="1"/>
      <w:numFmt w:val="bullet"/>
      <w:lvlText w:val=""/>
      <w:lvlJc w:val="left"/>
      <w:pPr>
        <w:ind w:left="8605" w:hanging="360"/>
      </w:pPr>
      <w:rPr>
        <w:rFonts w:ascii="Wingdings" w:hAnsi="Wingdings" w:hint="default"/>
      </w:rPr>
    </w:lvl>
    <w:lvl w:ilvl="3" w:tplc="04220001" w:tentative="1">
      <w:start w:val="1"/>
      <w:numFmt w:val="bullet"/>
      <w:lvlText w:val=""/>
      <w:lvlJc w:val="left"/>
      <w:pPr>
        <w:ind w:left="9325" w:hanging="360"/>
      </w:pPr>
      <w:rPr>
        <w:rFonts w:ascii="Symbol" w:hAnsi="Symbol" w:hint="default"/>
      </w:rPr>
    </w:lvl>
    <w:lvl w:ilvl="4" w:tplc="04220003" w:tentative="1">
      <w:start w:val="1"/>
      <w:numFmt w:val="bullet"/>
      <w:lvlText w:val="o"/>
      <w:lvlJc w:val="left"/>
      <w:pPr>
        <w:ind w:left="10045" w:hanging="360"/>
      </w:pPr>
      <w:rPr>
        <w:rFonts w:ascii="Courier New" w:hAnsi="Courier New" w:cs="Courier New" w:hint="default"/>
      </w:rPr>
    </w:lvl>
    <w:lvl w:ilvl="5" w:tplc="04220005" w:tentative="1">
      <w:start w:val="1"/>
      <w:numFmt w:val="bullet"/>
      <w:lvlText w:val=""/>
      <w:lvlJc w:val="left"/>
      <w:pPr>
        <w:ind w:left="10765" w:hanging="360"/>
      </w:pPr>
      <w:rPr>
        <w:rFonts w:ascii="Wingdings" w:hAnsi="Wingdings" w:hint="default"/>
      </w:rPr>
    </w:lvl>
    <w:lvl w:ilvl="6" w:tplc="04220001" w:tentative="1">
      <w:start w:val="1"/>
      <w:numFmt w:val="bullet"/>
      <w:lvlText w:val=""/>
      <w:lvlJc w:val="left"/>
      <w:pPr>
        <w:ind w:left="11485" w:hanging="360"/>
      </w:pPr>
      <w:rPr>
        <w:rFonts w:ascii="Symbol" w:hAnsi="Symbol" w:hint="default"/>
      </w:rPr>
    </w:lvl>
    <w:lvl w:ilvl="7" w:tplc="04220003" w:tentative="1">
      <w:start w:val="1"/>
      <w:numFmt w:val="bullet"/>
      <w:lvlText w:val="o"/>
      <w:lvlJc w:val="left"/>
      <w:pPr>
        <w:ind w:left="12205" w:hanging="360"/>
      </w:pPr>
      <w:rPr>
        <w:rFonts w:ascii="Courier New" w:hAnsi="Courier New" w:cs="Courier New" w:hint="default"/>
      </w:rPr>
    </w:lvl>
    <w:lvl w:ilvl="8" w:tplc="04220005" w:tentative="1">
      <w:start w:val="1"/>
      <w:numFmt w:val="bullet"/>
      <w:lvlText w:val=""/>
      <w:lvlJc w:val="left"/>
      <w:pPr>
        <w:ind w:left="12925" w:hanging="360"/>
      </w:pPr>
      <w:rPr>
        <w:rFonts w:ascii="Wingdings" w:hAnsi="Wingdings" w:hint="default"/>
      </w:rPr>
    </w:lvl>
  </w:abstractNum>
  <w:abstractNum w:abstractNumId="27" w15:restartNumberingAfterBreak="0">
    <w:nsid w:val="6C961385"/>
    <w:multiLevelType w:val="hybridMultilevel"/>
    <w:tmpl w:val="1A742F0E"/>
    <w:lvl w:ilvl="0" w:tplc="E9F039D6">
      <w:numFmt w:val="bullet"/>
      <w:lvlText w:val="–"/>
      <w:lvlJc w:val="left"/>
      <w:pPr>
        <w:ind w:left="43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D2D358E"/>
    <w:multiLevelType w:val="hybridMultilevel"/>
    <w:tmpl w:val="9492496A"/>
    <w:lvl w:ilvl="0" w:tplc="835CDD8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6DA81D2C"/>
    <w:multiLevelType w:val="hybridMultilevel"/>
    <w:tmpl w:val="F4C0ED0A"/>
    <w:lvl w:ilvl="0" w:tplc="176CCBBE">
      <w:numFmt w:val="bullet"/>
      <w:lvlText w:val="–"/>
      <w:lvlJc w:val="left"/>
      <w:pPr>
        <w:ind w:left="924" w:hanging="360"/>
      </w:pPr>
      <w:rPr>
        <w:rFonts w:ascii="Times New Roman" w:eastAsia="Times New Roman" w:hAnsi="Times New Roman" w:cs="Times New Roman" w:hint="default"/>
      </w:rPr>
    </w:lvl>
    <w:lvl w:ilvl="1" w:tplc="04220003" w:tentative="1">
      <w:start w:val="1"/>
      <w:numFmt w:val="bullet"/>
      <w:lvlText w:val="o"/>
      <w:lvlJc w:val="left"/>
      <w:pPr>
        <w:ind w:left="1644" w:hanging="360"/>
      </w:pPr>
      <w:rPr>
        <w:rFonts w:ascii="Courier New" w:hAnsi="Courier New" w:cs="Courier New" w:hint="default"/>
      </w:rPr>
    </w:lvl>
    <w:lvl w:ilvl="2" w:tplc="04220005" w:tentative="1">
      <w:start w:val="1"/>
      <w:numFmt w:val="bullet"/>
      <w:lvlText w:val=""/>
      <w:lvlJc w:val="left"/>
      <w:pPr>
        <w:ind w:left="2364" w:hanging="360"/>
      </w:pPr>
      <w:rPr>
        <w:rFonts w:ascii="Wingdings" w:hAnsi="Wingdings" w:hint="default"/>
      </w:rPr>
    </w:lvl>
    <w:lvl w:ilvl="3" w:tplc="04220001" w:tentative="1">
      <w:start w:val="1"/>
      <w:numFmt w:val="bullet"/>
      <w:lvlText w:val=""/>
      <w:lvlJc w:val="left"/>
      <w:pPr>
        <w:ind w:left="3084" w:hanging="360"/>
      </w:pPr>
      <w:rPr>
        <w:rFonts w:ascii="Symbol" w:hAnsi="Symbol" w:hint="default"/>
      </w:rPr>
    </w:lvl>
    <w:lvl w:ilvl="4" w:tplc="04220003" w:tentative="1">
      <w:start w:val="1"/>
      <w:numFmt w:val="bullet"/>
      <w:lvlText w:val="o"/>
      <w:lvlJc w:val="left"/>
      <w:pPr>
        <w:ind w:left="3804" w:hanging="360"/>
      </w:pPr>
      <w:rPr>
        <w:rFonts w:ascii="Courier New" w:hAnsi="Courier New" w:cs="Courier New" w:hint="default"/>
      </w:rPr>
    </w:lvl>
    <w:lvl w:ilvl="5" w:tplc="04220005" w:tentative="1">
      <w:start w:val="1"/>
      <w:numFmt w:val="bullet"/>
      <w:lvlText w:val=""/>
      <w:lvlJc w:val="left"/>
      <w:pPr>
        <w:ind w:left="4524" w:hanging="360"/>
      </w:pPr>
      <w:rPr>
        <w:rFonts w:ascii="Wingdings" w:hAnsi="Wingdings" w:hint="default"/>
      </w:rPr>
    </w:lvl>
    <w:lvl w:ilvl="6" w:tplc="04220001" w:tentative="1">
      <w:start w:val="1"/>
      <w:numFmt w:val="bullet"/>
      <w:lvlText w:val=""/>
      <w:lvlJc w:val="left"/>
      <w:pPr>
        <w:ind w:left="5244" w:hanging="360"/>
      </w:pPr>
      <w:rPr>
        <w:rFonts w:ascii="Symbol" w:hAnsi="Symbol" w:hint="default"/>
      </w:rPr>
    </w:lvl>
    <w:lvl w:ilvl="7" w:tplc="04220003" w:tentative="1">
      <w:start w:val="1"/>
      <w:numFmt w:val="bullet"/>
      <w:lvlText w:val="o"/>
      <w:lvlJc w:val="left"/>
      <w:pPr>
        <w:ind w:left="5964" w:hanging="360"/>
      </w:pPr>
      <w:rPr>
        <w:rFonts w:ascii="Courier New" w:hAnsi="Courier New" w:cs="Courier New" w:hint="default"/>
      </w:rPr>
    </w:lvl>
    <w:lvl w:ilvl="8" w:tplc="04220005" w:tentative="1">
      <w:start w:val="1"/>
      <w:numFmt w:val="bullet"/>
      <w:lvlText w:val=""/>
      <w:lvlJc w:val="left"/>
      <w:pPr>
        <w:ind w:left="6684" w:hanging="360"/>
      </w:pPr>
      <w:rPr>
        <w:rFonts w:ascii="Wingdings" w:hAnsi="Wingdings" w:hint="default"/>
      </w:rPr>
    </w:lvl>
  </w:abstractNum>
  <w:abstractNum w:abstractNumId="30" w15:restartNumberingAfterBreak="0">
    <w:nsid w:val="71C02D19"/>
    <w:multiLevelType w:val="multilevel"/>
    <w:tmpl w:val="8A22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27C27"/>
    <w:multiLevelType w:val="hybridMultilevel"/>
    <w:tmpl w:val="9CB8BDDE"/>
    <w:lvl w:ilvl="0" w:tplc="382A2EC4">
      <w:numFmt w:val="bullet"/>
      <w:lvlText w:val="–"/>
      <w:lvlJc w:val="left"/>
      <w:pPr>
        <w:ind w:left="924" w:hanging="360"/>
      </w:pPr>
      <w:rPr>
        <w:rFonts w:ascii="Times New Roman" w:eastAsia="Times New Roman" w:hAnsi="Times New Roman" w:cs="Times New Roman" w:hint="default"/>
      </w:rPr>
    </w:lvl>
    <w:lvl w:ilvl="1" w:tplc="04220003" w:tentative="1">
      <w:start w:val="1"/>
      <w:numFmt w:val="bullet"/>
      <w:lvlText w:val="o"/>
      <w:lvlJc w:val="left"/>
      <w:pPr>
        <w:ind w:left="1644" w:hanging="360"/>
      </w:pPr>
      <w:rPr>
        <w:rFonts w:ascii="Courier New" w:hAnsi="Courier New" w:cs="Courier New" w:hint="default"/>
      </w:rPr>
    </w:lvl>
    <w:lvl w:ilvl="2" w:tplc="04220005" w:tentative="1">
      <w:start w:val="1"/>
      <w:numFmt w:val="bullet"/>
      <w:lvlText w:val=""/>
      <w:lvlJc w:val="left"/>
      <w:pPr>
        <w:ind w:left="2364" w:hanging="360"/>
      </w:pPr>
      <w:rPr>
        <w:rFonts w:ascii="Wingdings" w:hAnsi="Wingdings" w:hint="default"/>
      </w:rPr>
    </w:lvl>
    <w:lvl w:ilvl="3" w:tplc="04220001" w:tentative="1">
      <w:start w:val="1"/>
      <w:numFmt w:val="bullet"/>
      <w:lvlText w:val=""/>
      <w:lvlJc w:val="left"/>
      <w:pPr>
        <w:ind w:left="3084" w:hanging="360"/>
      </w:pPr>
      <w:rPr>
        <w:rFonts w:ascii="Symbol" w:hAnsi="Symbol" w:hint="default"/>
      </w:rPr>
    </w:lvl>
    <w:lvl w:ilvl="4" w:tplc="04220003" w:tentative="1">
      <w:start w:val="1"/>
      <w:numFmt w:val="bullet"/>
      <w:lvlText w:val="o"/>
      <w:lvlJc w:val="left"/>
      <w:pPr>
        <w:ind w:left="3804" w:hanging="360"/>
      </w:pPr>
      <w:rPr>
        <w:rFonts w:ascii="Courier New" w:hAnsi="Courier New" w:cs="Courier New" w:hint="default"/>
      </w:rPr>
    </w:lvl>
    <w:lvl w:ilvl="5" w:tplc="04220005" w:tentative="1">
      <w:start w:val="1"/>
      <w:numFmt w:val="bullet"/>
      <w:lvlText w:val=""/>
      <w:lvlJc w:val="left"/>
      <w:pPr>
        <w:ind w:left="4524" w:hanging="360"/>
      </w:pPr>
      <w:rPr>
        <w:rFonts w:ascii="Wingdings" w:hAnsi="Wingdings" w:hint="default"/>
      </w:rPr>
    </w:lvl>
    <w:lvl w:ilvl="6" w:tplc="04220001" w:tentative="1">
      <w:start w:val="1"/>
      <w:numFmt w:val="bullet"/>
      <w:lvlText w:val=""/>
      <w:lvlJc w:val="left"/>
      <w:pPr>
        <w:ind w:left="5244" w:hanging="360"/>
      </w:pPr>
      <w:rPr>
        <w:rFonts w:ascii="Symbol" w:hAnsi="Symbol" w:hint="default"/>
      </w:rPr>
    </w:lvl>
    <w:lvl w:ilvl="7" w:tplc="04220003" w:tentative="1">
      <w:start w:val="1"/>
      <w:numFmt w:val="bullet"/>
      <w:lvlText w:val="o"/>
      <w:lvlJc w:val="left"/>
      <w:pPr>
        <w:ind w:left="5964" w:hanging="360"/>
      </w:pPr>
      <w:rPr>
        <w:rFonts w:ascii="Courier New" w:hAnsi="Courier New" w:cs="Courier New" w:hint="default"/>
      </w:rPr>
    </w:lvl>
    <w:lvl w:ilvl="8" w:tplc="04220005" w:tentative="1">
      <w:start w:val="1"/>
      <w:numFmt w:val="bullet"/>
      <w:lvlText w:val=""/>
      <w:lvlJc w:val="left"/>
      <w:pPr>
        <w:ind w:left="6684" w:hanging="360"/>
      </w:pPr>
      <w:rPr>
        <w:rFonts w:ascii="Wingdings" w:hAnsi="Wingdings" w:hint="default"/>
      </w:rPr>
    </w:lvl>
  </w:abstractNum>
  <w:abstractNum w:abstractNumId="32" w15:restartNumberingAfterBreak="0">
    <w:nsid w:val="776068BF"/>
    <w:multiLevelType w:val="hybridMultilevel"/>
    <w:tmpl w:val="ECE80918"/>
    <w:lvl w:ilvl="0" w:tplc="954E6B0C">
      <w:start w:val="1"/>
      <w:numFmt w:val="bullet"/>
      <w:lvlText w:val="­"/>
      <w:lvlJc w:val="left"/>
      <w:pPr>
        <w:ind w:left="6314" w:hanging="360"/>
      </w:pPr>
      <w:rPr>
        <w:rFonts w:ascii="Courier New" w:hAnsi="Courier New" w:hint="default"/>
        <w:i w:val="0"/>
      </w:rPr>
    </w:lvl>
    <w:lvl w:ilvl="1" w:tplc="04220003" w:tentative="1">
      <w:start w:val="1"/>
      <w:numFmt w:val="bullet"/>
      <w:lvlText w:val="o"/>
      <w:lvlJc w:val="left"/>
      <w:pPr>
        <w:ind w:left="7034" w:hanging="360"/>
      </w:pPr>
      <w:rPr>
        <w:rFonts w:ascii="Courier New" w:hAnsi="Courier New" w:cs="Courier New" w:hint="default"/>
      </w:rPr>
    </w:lvl>
    <w:lvl w:ilvl="2" w:tplc="04220005" w:tentative="1">
      <w:start w:val="1"/>
      <w:numFmt w:val="bullet"/>
      <w:lvlText w:val=""/>
      <w:lvlJc w:val="left"/>
      <w:pPr>
        <w:ind w:left="7754" w:hanging="360"/>
      </w:pPr>
      <w:rPr>
        <w:rFonts w:ascii="Wingdings" w:hAnsi="Wingdings" w:hint="default"/>
      </w:rPr>
    </w:lvl>
    <w:lvl w:ilvl="3" w:tplc="04220001" w:tentative="1">
      <w:start w:val="1"/>
      <w:numFmt w:val="bullet"/>
      <w:lvlText w:val=""/>
      <w:lvlJc w:val="left"/>
      <w:pPr>
        <w:ind w:left="8474" w:hanging="360"/>
      </w:pPr>
      <w:rPr>
        <w:rFonts w:ascii="Symbol" w:hAnsi="Symbol" w:hint="default"/>
      </w:rPr>
    </w:lvl>
    <w:lvl w:ilvl="4" w:tplc="04220003" w:tentative="1">
      <w:start w:val="1"/>
      <w:numFmt w:val="bullet"/>
      <w:lvlText w:val="o"/>
      <w:lvlJc w:val="left"/>
      <w:pPr>
        <w:ind w:left="9194" w:hanging="360"/>
      </w:pPr>
      <w:rPr>
        <w:rFonts w:ascii="Courier New" w:hAnsi="Courier New" w:cs="Courier New" w:hint="default"/>
      </w:rPr>
    </w:lvl>
    <w:lvl w:ilvl="5" w:tplc="04220005" w:tentative="1">
      <w:start w:val="1"/>
      <w:numFmt w:val="bullet"/>
      <w:lvlText w:val=""/>
      <w:lvlJc w:val="left"/>
      <w:pPr>
        <w:ind w:left="9914" w:hanging="360"/>
      </w:pPr>
      <w:rPr>
        <w:rFonts w:ascii="Wingdings" w:hAnsi="Wingdings" w:hint="default"/>
      </w:rPr>
    </w:lvl>
    <w:lvl w:ilvl="6" w:tplc="04220001" w:tentative="1">
      <w:start w:val="1"/>
      <w:numFmt w:val="bullet"/>
      <w:lvlText w:val=""/>
      <w:lvlJc w:val="left"/>
      <w:pPr>
        <w:ind w:left="10634" w:hanging="360"/>
      </w:pPr>
      <w:rPr>
        <w:rFonts w:ascii="Symbol" w:hAnsi="Symbol" w:hint="default"/>
      </w:rPr>
    </w:lvl>
    <w:lvl w:ilvl="7" w:tplc="04220003" w:tentative="1">
      <w:start w:val="1"/>
      <w:numFmt w:val="bullet"/>
      <w:lvlText w:val="o"/>
      <w:lvlJc w:val="left"/>
      <w:pPr>
        <w:ind w:left="11354" w:hanging="360"/>
      </w:pPr>
      <w:rPr>
        <w:rFonts w:ascii="Courier New" w:hAnsi="Courier New" w:cs="Courier New" w:hint="default"/>
      </w:rPr>
    </w:lvl>
    <w:lvl w:ilvl="8" w:tplc="04220005" w:tentative="1">
      <w:start w:val="1"/>
      <w:numFmt w:val="bullet"/>
      <w:lvlText w:val=""/>
      <w:lvlJc w:val="left"/>
      <w:pPr>
        <w:ind w:left="12074" w:hanging="360"/>
      </w:pPr>
      <w:rPr>
        <w:rFonts w:ascii="Wingdings" w:hAnsi="Wingdings" w:hint="default"/>
      </w:rPr>
    </w:lvl>
  </w:abstractNum>
  <w:abstractNum w:abstractNumId="33" w15:restartNumberingAfterBreak="0">
    <w:nsid w:val="7A5157AD"/>
    <w:multiLevelType w:val="hybridMultilevel"/>
    <w:tmpl w:val="A9581A3A"/>
    <w:lvl w:ilvl="0" w:tplc="835CDD8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ACD6572"/>
    <w:multiLevelType w:val="multilevel"/>
    <w:tmpl w:val="1D20B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B177C4"/>
    <w:multiLevelType w:val="hybridMultilevel"/>
    <w:tmpl w:val="06147CD8"/>
    <w:lvl w:ilvl="0" w:tplc="5666EF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10812230">
    <w:abstractNumId w:val="0"/>
  </w:num>
  <w:num w:numId="2" w16cid:durableId="315569621">
    <w:abstractNumId w:val="0"/>
  </w:num>
  <w:num w:numId="3" w16cid:durableId="1252665156">
    <w:abstractNumId w:val="0"/>
  </w:num>
  <w:num w:numId="4" w16cid:durableId="1528981583">
    <w:abstractNumId w:val="0"/>
  </w:num>
  <w:num w:numId="5" w16cid:durableId="227157356">
    <w:abstractNumId w:val="0"/>
  </w:num>
  <w:num w:numId="6" w16cid:durableId="619410878">
    <w:abstractNumId w:val="0"/>
  </w:num>
  <w:num w:numId="7" w16cid:durableId="1423721320">
    <w:abstractNumId w:val="0"/>
  </w:num>
  <w:num w:numId="8" w16cid:durableId="1077242583">
    <w:abstractNumId w:val="0"/>
  </w:num>
  <w:num w:numId="9" w16cid:durableId="1477263181">
    <w:abstractNumId w:val="0"/>
  </w:num>
  <w:num w:numId="10" w16cid:durableId="717439006">
    <w:abstractNumId w:val="15"/>
  </w:num>
  <w:num w:numId="11" w16cid:durableId="1925063099">
    <w:abstractNumId w:val="12"/>
  </w:num>
  <w:num w:numId="12" w16cid:durableId="49230643">
    <w:abstractNumId w:val="23"/>
  </w:num>
  <w:num w:numId="13" w16cid:durableId="1624648502">
    <w:abstractNumId w:val="32"/>
  </w:num>
  <w:num w:numId="14" w16cid:durableId="1361974749">
    <w:abstractNumId w:val="22"/>
  </w:num>
  <w:num w:numId="15" w16cid:durableId="1546529755">
    <w:abstractNumId w:val="6"/>
  </w:num>
  <w:num w:numId="16" w16cid:durableId="265768806">
    <w:abstractNumId w:val="2"/>
  </w:num>
  <w:num w:numId="17" w16cid:durableId="162816262">
    <w:abstractNumId w:val="9"/>
  </w:num>
  <w:num w:numId="18" w16cid:durableId="1494562657">
    <w:abstractNumId w:val="14"/>
  </w:num>
  <w:num w:numId="19" w16cid:durableId="325286410">
    <w:abstractNumId w:val="4"/>
  </w:num>
  <w:num w:numId="20" w16cid:durableId="322778644">
    <w:abstractNumId w:val="35"/>
  </w:num>
  <w:num w:numId="21" w16cid:durableId="1455949079">
    <w:abstractNumId w:val="7"/>
  </w:num>
  <w:num w:numId="22" w16cid:durableId="1413965661">
    <w:abstractNumId w:val="19"/>
  </w:num>
  <w:num w:numId="23" w16cid:durableId="1384595666">
    <w:abstractNumId w:val="27"/>
  </w:num>
  <w:num w:numId="24" w16cid:durableId="402726482">
    <w:abstractNumId w:val="8"/>
  </w:num>
  <w:num w:numId="25" w16cid:durableId="834416125">
    <w:abstractNumId w:val="17"/>
  </w:num>
  <w:num w:numId="26" w16cid:durableId="293801291">
    <w:abstractNumId w:val="32"/>
  </w:num>
  <w:num w:numId="27" w16cid:durableId="467942909">
    <w:abstractNumId w:val="15"/>
  </w:num>
  <w:num w:numId="28" w16cid:durableId="702827575">
    <w:abstractNumId w:val="14"/>
  </w:num>
  <w:num w:numId="29" w16cid:durableId="228806207">
    <w:abstractNumId w:val="35"/>
  </w:num>
  <w:num w:numId="30" w16cid:durableId="450713960">
    <w:abstractNumId w:val="11"/>
  </w:num>
  <w:num w:numId="31" w16cid:durableId="1122648117">
    <w:abstractNumId w:val="25"/>
  </w:num>
  <w:num w:numId="32" w16cid:durableId="29767697">
    <w:abstractNumId w:val="20"/>
  </w:num>
  <w:num w:numId="33" w16cid:durableId="1114792285">
    <w:abstractNumId w:val="14"/>
  </w:num>
  <w:num w:numId="34" w16cid:durableId="304549079">
    <w:abstractNumId w:val="21"/>
  </w:num>
  <w:num w:numId="35" w16cid:durableId="191264116">
    <w:abstractNumId w:val="3"/>
  </w:num>
  <w:num w:numId="36" w16cid:durableId="1522082270">
    <w:abstractNumId w:val="18"/>
  </w:num>
  <w:num w:numId="37" w16cid:durableId="2119375770">
    <w:abstractNumId w:val="24"/>
  </w:num>
  <w:num w:numId="38" w16cid:durableId="2127774390">
    <w:abstractNumId w:val="31"/>
  </w:num>
  <w:num w:numId="39" w16cid:durableId="899442075">
    <w:abstractNumId w:val="29"/>
  </w:num>
  <w:num w:numId="40" w16cid:durableId="1389113314">
    <w:abstractNumId w:val="10"/>
  </w:num>
  <w:num w:numId="41" w16cid:durableId="701782078">
    <w:abstractNumId w:val="26"/>
  </w:num>
  <w:num w:numId="42" w16cid:durableId="1020160863">
    <w:abstractNumId w:val="13"/>
  </w:num>
  <w:num w:numId="43" w16cid:durableId="1633636524">
    <w:abstractNumId w:val="28"/>
  </w:num>
  <w:num w:numId="44" w16cid:durableId="782575763">
    <w:abstractNumId w:val="33"/>
  </w:num>
  <w:num w:numId="45" w16cid:durableId="152839873">
    <w:abstractNumId w:val="1"/>
  </w:num>
  <w:num w:numId="46" w16cid:durableId="1701927385">
    <w:abstractNumId w:val="5"/>
  </w:num>
  <w:num w:numId="47" w16cid:durableId="15666473">
    <w:abstractNumId w:val="34"/>
  </w:num>
  <w:num w:numId="48" w16cid:durableId="1565330436">
    <w:abstractNumId w:val="30"/>
  </w:num>
  <w:num w:numId="49" w16cid:durableId="6534101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FE"/>
    <w:rsid w:val="000005C3"/>
    <w:rsid w:val="00000F95"/>
    <w:rsid w:val="00003EBB"/>
    <w:rsid w:val="000059D3"/>
    <w:rsid w:val="0000677A"/>
    <w:rsid w:val="000071FB"/>
    <w:rsid w:val="00007855"/>
    <w:rsid w:val="000101C6"/>
    <w:rsid w:val="000110E3"/>
    <w:rsid w:val="00015237"/>
    <w:rsid w:val="00016B84"/>
    <w:rsid w:val="000255BD"/>
    <w:rsid w:val="00027EA3"/>
    <w:rsid w:val="000312BE"/>
    <w:rsid w:val="00033D4B"/>
    <w:rsid w:val="00034085"/>
    <w:rsid w:val="000341F2"/>
    <w:rsid w:val="0003620D"/>
    <w:rsid w:val="000376B8"/>
    <w:rsid w:val="00042044"/>
    <w:rsid w:val="00042121"/>
    <w:rsid w:val="00043A0E"/>
    <w:rsid w:val="000449C5"/>
    <w:rsid w:val="00045E9A"/>
    <w:rsid w:val="000479B7"/>
    <w:rsid w:val="00047F67"/>
    <w:rsid w:val="00050285"/>
    <w:rsid w:val="00050DDC"/>
    <w:rsid w:val="00052C47"/>
    <w:rsid w:val="0005479C"/>
    <w:rsid w:val="0005707E"/>
    <w:rsid w:val="0005788E"/>
    <w:rsid w:val="0006369B"/>
    <w:rsid w:val="000637C5"/>
    <w:rsid w:val="00064AE0"/>
    <w:rsid w:val="000654B1"/>
    <w:rsid w:val="00065DA9"/>
    <w:rsid w:val="000726B9"/>
    <w:rsid w:val="000729DC"/>
    <w:rsid w:val="000738CC"/>
    <w:rsid w:val="00074C32"/>
    <w:rsid w:val="000817F1"/>
    <w:rsid w:val="000821B0"/>
    <w:rsid w:val="00084C67"/>
    <w:rsid w:val="00087C67"/>
    <w:rsid w:val="0009249E"/>
    <w:rsid w:val="00092DA9"/>
    <w:rsid w:val="000930FB"/>
    <w:rsid w:val="00096198"/>
    <w:rsid w:val="000969DF"/>
    <w:rsid w:val="000973FB"/>
    <w:rsid w:val="000A0892"/>
    <w:rsid w:val="000A13F0"/>
    <w:rsid w:val="000A1C2F"/>
    <w:rsid w:val="000A311F"/>
    <w:rsid w:val="000A5667"/>
    <w:rsid w:val="000A591B"/>
    <w:rsid w:val="000A6B01"/>
    <w:rsid w:val="000B03E2"/>
    <w:rsid w:val="000B2A05"/>
    <w:rsid w:val="000B2D6B"/>
    <w:rsid w:val="000B33E7"/>
    <w:rsid w:val="000B565E"/>
    <w:rsid w:val="000C044E"/>
    <w:rsid w:val="000C2504"/>
    <w:rsid w:val="000C698C"/>
    <w:rsid w:val="000C7916"/>
    <w:rsid w:val="000C7DFB"/>
    <w:rsid w:val="000D0F10"/>
    <w:rsid w:val="000D2B75"/>
    <w:rsid w:val="000D3E9F"/>
    <w:rsid w:val="000D5010"/>
    <w:rsid w:val="000D59C3"/>
    <w:rsid w:val="000D59D8"/>
    <w:rsid w:val="000D6A06"/>
    <w:rsid w:val="000D705B"/>
    <w:rsid w:val="000E2E60"/>
    <w:rsid w:val="000E4CE8"/>
    <w:rsid w:val="000E5C5B"/>
    <w:rsid w:val="000E6059"/>
    <w:rsid w:val="000E640D"/>
    <w:rsid w:val="000E6866"/>
    <w:rsid w:val="000F0473"/>
    <w:rsid w:val="000F21DE"/>
    <w:rsid w:val="000F3498"/>
    <w:rsid w:val="000F3A0F"/>
    <w:rsid w:val="000F4BE1"/>
    <w:rsid w:val="000F54DE"/>
    <w:rsid w:val="001000DF"/>
    <w:rsid w:val="0010162E"/>
    <w:rsid w:val="001035AA"/>
    <w:rsid w:val="001035F4"/>
    <w:rsid w:val="00107817"/>
    <w:rsid w:val="00107E6A"/>
    <w:rsid w:val="0011039F"/>
    <w:rsid w:val="00110AEE"/>
    <w:rsid w:val="00110DC6"/>
    <w:rsid w:val="00113BDD"/>
    <w:rsid w:val="001146A5"/>
    <w:rsid w:val="00115C88"/>
    <w:rsid w:val="00120CEE"/>
    <w:rsid w:val="00121DC4"/>
    <w:rsid w:val="0012574E"/>
    <w:rsid w:val="00127239"/>
    <w:rsid w:val="001304E6"/>
    <w:rsid w:val="00134FC4"/>
    <w:rsid w:val="0013632C"/>
    <w:rsid w:val="0014143F"/>
    <w:rsid w:val="00142E17"/>
    <w:rsid w:val="00145235"/>
    <w:rsid w:val="00145320"/>
    <w:rsid w:val="00147676"/>
    <w:rsid w:val="001534EF"/>
    <w:rsid w:val="00154804"/>
    <w:rsid w:val="00154A7C"/>
    <w:rsid w:val="00154FBD"/>
    <w:rsid w:val="00155A39"/>
    <w:rsid w:val="001600E1"/>
    <w:rsid w:val="00160114"/>
    <w:rsid w:val="001633A0"/>
    <w:rsid w:val="001639DE"/>
    <w:rsid w:val="00164FB6"/>
    <w:rsid w:val="00165713"/>
    <w:rsid w:val="00170C70"/>
    <w:rsid w:val="00171D53"/>
    <w:rsid w:val="00171DAA"/>
    <w:rsid w:val="00172070"/>
    <w:rsid w:val="00177B6A"/>
    <w:rsid w:val="00177E39"/>
    <w:rsid w:val="00181901"/>
    <w:rsid w:val="00182C9B"/>
    <w:rsid w:val="001846FE"/>
    <w:rsid w:val="00191A24"/>
    <w:rsid w:val="00192A81"/>
    <w:rsid w:val="00194005"/>
    <w:rsid w:val="001940B0"/>
    <w:rsid w:val="00194A15"/>
    <w:rsid w:val="001951F6"/>
    <w:rsid w:val="001A0929"/>
    <w:rsid w:val="001A1E58"/>
    <w:rsid w:val="001A249C"/>
    <w:rsid w:val="001A3395"/>
    <w:rsid w:val="001A3C70"/>
    <w:rsid w:val="001A4ADA"/>
    <w:rsid w:val="001A53FE"/>
    <w:rsid w:val="001A7114"/>
    <w:rsid w:val="001A74D3"/>
    <w:rsid w:val="001B0215"/>
    <w:rsid w:val="001B1D80"/>
    <w:rsid w:val="001B51D4"/>
    <w:rsid w:val="001B63C1"/>
    <w:rsid w:val="001B7BF6"/>
    <w:rsid w:val="001C0166"/>
    <w:rsid w:val="001C19B5"/>
    <w:rsid w:val="001C1B71"/>
    <w:rsid w:val="001C21A9"/>
    <w:rsid w:val="001C2727"/>
    <w:rsid w:val="001C5B43"/>
    <w:rsid w:val="001D0655"/>
    <w:rsid w:val="001D127D"/>
    <w:rsid w:val="001D1B72"/>
    <w:rsid w:val="001D211B"/>
    <w:rsid w:val="001D2E9F"/>
    <w:rsid w:val="001D4B99"/>
    <w:rsid w:val="001D59B0"/>
    <w:rsid w:val="001D6DA9"/>
    <w:rsid w:val="001E0026"/>
    <w:rsid w:val="001E092B"/>
    <w:rsid w:val="001E21EE"/>
    <w:rsid w:val="001E34F6"/>
    <w:rsid w:val="001E55BE"/>
    <w:rsid w:val="001E7FD8"/>
    <w:rsid w:val="001F23A1"/>
    <w:rsid w:val="001F2FA5"/>
    <w:rsid w:val="001F3955"/>
    <w:rsid w:val="001F49B2"/>
    <w:rsid w:val="001F5A45"/>
    <w:rsid w:val="001F5DCB"/>
    <w:rsid w:val="002014CF"/>
    <w:rsid w:val="00205417"/>
    <w:rsid w:val="0020758D"/>
    <w:rsid w:val="002100D0"/>
    <w:rsid w:val="00212276"/>
    <w:rsid w:val="00213A1A"/>
    <w:rsid w:val="00213BB2"/>
    <w:rsid w:val="00215D45"/>
    <w:rsid w:val="00215E34"/>
    <w:rsid w:val="00217BB8"/>
    <w:rsid w:val="00217C35"/>
    <w:rsid w:val="00221B36"/>
    <w:rsid w:val="00222EE5"/>
    <w:rsid w:val="00223313"/>
    <w:rsid w:val="0022374F"/>
    <w:rsid w:val="00223C5D"/>
    <w:rsid w:val="00225EF2"/>
    <w:rsid w:val="00226D2C"/>
    <w:rsid w:val="00230C76"/>
    <w:rsid w:val="0023206D"/>
    <w:rsid w:val="00236194"/>
    <w:rsid w:val="0024009A"/>
    <w:rsid w:val="002405D7"/>
    <w:rsid w:val="002406DC"/>
    <w:rsid w:val="002408E0"/>
    <w:rsid w:val="00242595"/>
    <w:rsid w:val="0025063A"/>
    <w:rsid w:val="0025150A"/>
    <w:rsid w:val="002516B6"/>
    <w:rsid w:val="002517A0"/>
    <w:rsid w:val="00251949"/>
    <w:rsid w:val="00251D19"/>
    <w:rsid w:val="002543BD"/>
    <w:rsid w:val="00254F40"/>
    <w:rsid w:val="002553EF"/>
    <w:rsid w:val="00257AD2"/>
    <w:rsid w:val="00260D61"/>
    <w:rsid w:val="00261340"/>
    <w:rsid w:val="00265DE6"/>
    <w:rsid w:val="00271252"/>
    <w:rsid w:val="00271537"/>
    <w:rsid w:val="002733B6"/>
    <w:rsid w:val="00274B76"/>
    <w:rsid w:val="00274CA0"/>
    <w:rsid w:val="00274E18"/>
    <w:rsid w:val="00275337"/>
    <w:rsid w:val="00275F50"/>
    <w:rsid w:val="0027699E"/>
    <w:rsid w:val="00276FA4"/>
    <w:rsid w:val="00277529"/>
    <w:rsid w:val="00280F7C"/>
    <w:rsid w:val="00281948"/>
    <w:rsid w:val="00281A92"/>
    <w:rsid w:val="002837F8"/>
    <w:rsid w:val="002852DF"/>
    <w:rsid w:val="0028645B"/>
    <w:rsid w:val="0028654A"/>
    <w:rsid w:val="00286F3D"/>
    <w:rsid w:val="0028750B"/>
    <w:rsid w:val="0028762B"/>
    <w:rsid w:val="002909AA"/>
    <w:rsid w:val="00291497"/>
    <w:rsid w:val="00291C53"/>
    <w:rsid w:val="00292174"/>
    <w:rsid w:val="002925D4"/>
    <w:rsid w:val="00292B16"/>
    <w:rsid w:val="00295E92"/>
    <w:rsid w:val="00297F41"/>
    <w:rsid w:val="002A08B6"/>
    <w:rsid w:val="002A093B"/>
    <w:rsid w:val="002A0E09"/>
    <w:rsid w:val="002A4F60"/>
    <w:rsid w:val="002A4F82"/>
    <w:rsid w:val="002A59C0"/>
    <w:rsid w:val="002A5B32"/>
    <w:rsid w:val="002A765B"/>
    <w:rsid w:val="002B01FD"/>
    <w:rsid w:val="002B0871"/>
    <w:rsid w:val="002B108C"/>
    <w:rsid w:val="002B1184"/>
    <w:rsid w:val="002B1CBD"/>
    <w:rsid w:val="002B2AB9"/>
    <w:rsid w:val="002B2F6A"/>
    <w:rsid w:val="002B3ABB"/>
    <w:rsid w:val="002B688B"/>
    <w:rsid w:val="002B7ACB"/>
    <w:rsid w:val="002C02A3"/>
    <w:rsid w:val="002C02E5"/>
    <w:rsid w:val="002C0B1D"/>
    <w:rsid w:val="002C3B42"/>
    <w:rsid w:val="002C64EE"/>
    <w:rsid w:val="002C779F"/>
    <w:rsid w:val="002D250C"/>
    <w:rsid w:val="002D3FE7"/>
    <w:rsid w:val="002D5D77"/>
    <w:rsid w:val="002E2201"/>
    <w:rsid w:val="002E316A"/>
    <w:rsid w:val="002E3BE8"/>
    <w:rsid w:val="002E5EBA"/>
    <w:rsid w:val="002E7C7C"/>
    <w:rsid w:val="002F1A0F"/>
    <w:rsid w:val="002F3231"/>
    <w:rsid w:val="002F3483"/>
    <w:rsid w:val="002F582B"/>
    <w:rsid w:val="002F74C8"/>
    <w:rsid w:val="00301BBD"/>
    <w:rsid w:val="00302C99"/>
    <w:rsid w:val="00310A4F"/>
    <w:rsid w:val="00311232"/>
    <w:rsid w:val="003112FE"/>
    <w:rsid w:val="003122A9"/>
    <w:rsid w:val="00314023"/>
    <w:rsid w:val="0031427B"/>
    <w:rsid w:val="00321B2F"/>
    <w:rsid w:val="003243CD"/>
    <w:rsid w:val="00326559"/>
    <w:rsid w:val="00326916"/>
    <w:rsid w:val="0032743A"/>
    <w:rsid w:val="003304B7"/>
    <w:rsid w:val="0033055E"/>
    <w:rsid w:val="00330603"/>
    <w:rsid w:val="003307D8"/>
    <w:rsid w:val="00330E90"/>
    <w:rsid w:val="003332CC"/>
    <w:rsid w:val="00335CBF"/>
    <w:rsid w:val="00336C79"/>
    <w:rsid w:val="00337686"/>
    <w:rsid w:val="00340A9C"/>
    <w:rsid w:val="0034171D"/>
    <w:rsid w:val="0034200B"/>
    <w:rsid w:val="0034264F"/>
    <w:rsid w:val="00343E6B"/>
    <w:rsid w:val="003448AC"/>
    <w:rsid w:val="003503F5"/>
    <w:rsid w:val="00354C53"/>
    <w:rsid w:val="003553F2"/>
    <w:rsid w:val="00360D71"/>
    <w:rsid w:val="00360F4A"/>
    <w:rsid w:val="00361BC7"/>
    <w:rsid w:val="00363AF3"/>
    <w:rsid w:val="00363C31"/>
    <w:rsid w:val="003647F9"/>
    <w:rsid w:val="00364BCB"/>
    <w:rsid w:val="003664E6"/>
    <w:rsid w:val="00366751"/>
    <w:rsid w:val="00366B24"/>
    <w:rsid w:val="00367788"/>
    <w:rsid w:val="003706D2"/>
    <w:rsid w:val="003712F6"/>
    <w:rsid w:val="00375C3B"/>
    <w:rsid w:val="00377A3C"/>
    <w:rsid w:val="0038149A"/>
    <w:rsid w:val="00385206"/>
    <w:rsid w:val="00386186"/>
    <w:rsid w:val="00386B20"/>
    <w:rsid w:val="00391C5D"/>
    <w:rsid w:val="00393B49"/>
    <w:rsid w:val="003973C2"/>
    <w:rsid w:val="003A2BA3"/>
    <w:rsid w:val="003B0EB3"/>
    <w:rsid w:val="003B0F5F"/>
    <w:rsid w:val="003B464C"/>
    <w:rsid w:val="003B5060"/>
    <w:rsid w:val="003B5975"/>
    <w:rsid w:val="003B59CD"/>
    <w:rsid w:val="003B798D"/>
    <w:rsid w:val="003B7D0D"/>
    <w:rsid w:val="003B7D75"/>
    <w:rsid w:val="003C15EA"/>
    <w:rsid w:val="003C39AC"/>
    <w:rsid w:val="003C3A09"/>
    <w:rsid w:val="003C431E"/>
    <w:rsid w:val="003C4C03"/>
    <w:rsid w:val="003C5A01"/>
    <w:rsid w:val="003C6D13"/>
    <w:rsid w:val="003C6EDF"/>
    <w:rsid w:val="003C7348"/>
    <w:rsid w:val="003D0DC9"/>
    <w:rsid w:val="003D12C6"/>
    <w:rsid w:val="003D3AB9"/>
    <w:rsid w:val="003E2EBE"/>
    <w:rsid w:val="003F06D5"/>
    <w:rsid w:val="003F1687"/>
    <w:rsid w:val="003F3022"/>
    <w:rsid w:val="003F39FC"/>
    <w:rsid w:val="003F4084"/>
    <w:rsid w:val="003F54BF"/>
    <w:rsid w:val="003F7D06"/>
    <w:rsid w:val="00401026"/>
    <w:rsid w:val="00402DAA"/>
    <w:rsid w:val="0040506F"/>
    <w:rsid w:val="00407352"/>
    <w:rsid w:val="00407D1E"/>
    <w:rsid w:val="00411255"/>
    <w:rsid w:val="0041186D"/>
    <w:rsid w:val="0041381A"/>
    <w:rsid w:val="00414177"/>
    <w:rsid w:val="00414C6D"/>
    <w:rsid w:val="00415AD0"/>
    <w:rsid w:val="00415D33"/>
    <w:rsid w:val="004203B9"/>
    <w:rsid w:val="00424125"/>
    <w:rsid w:val="00430A6A"/>
    <w:rsid w:val="00431551"/>
    <w:rsid w:val="00431928"/>
    <w:rsid w:val="00433076"/>
    <w:rsid w:val="0043365E"/>
    <w:rsid w:val="00434015"/>
    <w:rsid w:val="00435209"/>
    <w:rsid w:val="00436F32"/>
    <w:rsid w:val="004430B5"/>
    <w:rsid w:val="0044405E"/>
    <w:rsid w:val="004473C4"/>
    <w:rsid w:val="004516C9"/>
    <w:rsid w:val="00451EA5"/>
    <w:rsid w:val="00453865"/>
    <w:rsid w:val="00453D04"/>
    <w:rsid w:val="0045692F"/>
    <w:rsid w:val="00462F9E"/>
    <w:rsid w:val="00463100"/>
    <w:rsid w:val="00463223"/>
    <w:rsid w:val="004634F5"/>
    <w:rsid w:val="00463658"/>
    <w:rsid w:val="004646BB"/>
    <w:rsid w:val="00470702"/>
    <w:rsid w:val="004713CB"/>
    <w:rsid w:val="00474FC9"/>
    <w:rsid w:val="004775DE"/>
    <w:rsid w:val="0048360C"/>
    <w:rsid w:val="00485FBE"/>
    <w:rsid w:val="0048653F"/>
    <w:rsid w:val="00487C7A"/>
    <w:rsid w:val="004901EA"/>
    <w:rsid w:val="00492475"/>
    <w:rsid w:val="00492BE1"/>
    <w:rsid w:val="0049447F"/>
    <w:rsid w:val="004955AF"/>
    <w:rsid w:val="00496FAB"/>
    <w:rsid w:val="004A2975"/>
    <w:rsid w:val="004A725F"/>
    <w:rsid w:val="004A7CB4"/>
    <w:rsid w:val="004B03E7"/>
    <w:rsid w:val="004B11BD"/>
    <w:rsid w:val="004B1297"/>
    <w:rsid w:val="004B2892"/>
    <w:rsid w:val="004B367D"/>
    <w:rsid w:val="004B463E"/>
    <w:rsid w:val="004B503E"/>
    <w:rsid w:val="004B5454"/>
    <w:rsid w:val="004B66B2"/>
    <w:rsid w:val="004B7E98"/>
    <w:rsid w:val="004C3A72"/>
    <w:rsid w:val="004C3B06"/>
    <w:rsid w:val="004D0554"/>
    <w:rsid w:val="004D0CB6"/>
    <w:rsid w:val="004D0E94"/>
    <w:rsid w:val="004D1B05"/>
    <w:rsid w:val="004D37FB"/>
    <w:rsid w:val="004D3CB8"/>
    <w:rsid w:val="004D46BD"/>
    <w:rsid w:val="004D498E"/>
    <w:rsid w:val="004D4BAB"/>
    <w:rsid w:val="004E0193"/>
    <w:rsid w:val="004E142D"/>
    <w:rsid w:val="004E187B"/>
    <w:rsid w:val="004E3103"/>
    <w:rsid w:val="004E48BF"/>
    <w:rsid w:val="004E494D"/>
    <w:rsid w:val="004E5778"/>
    <w:rsid w:val="004E5B7D"/>
    <w:rsid w:val="004E6D4F"/>
    <w:rsid w:val="004E7527"/>
    <w:rsid w:val="004F2424"/>
    <w:rsid w:val="004F2E61"/>
    <w:rsid w:val="004F3125"/>
    <w:rsid w:val="004F38AA"/>
    <w:rsid w:val="004F404B"/>
    <w:rsid w:val="004F45AF"/>
    <w:rsid w:val="004F4F43"/>
    <w:rsid w:val="004F4FA6"/>
    <w:rsid w:val="004F50FD"/>
    <w:rsid w:val="004F62DD"/>
    <w:rsid w:val="004F630A"/>
    <w:rsid w:val="004F6F4D"/>
    <w:rsid w:val="004F7667"/>
    <w:rsid w:val="004F7C07"/>
    <w:rsid w:val="00502D50"/>
    <w:rsid w:val="005036C2"/>
    <w:rsid w:val="00517051"/>
    <w:rsid w:val="0052009E"/>
    <w:rsid w:val="00520338"/>
    <w:rsid w:val="00520CBC"/>
    <w:rsid w:val="0052376E"/>
    <w:rsid w:val="00524AC3"/>
    <w:rsid w:val="00530CED"/>
    <w:rsid w:val="00531063"/>
    <w:rsid w:val="00532439"/>
    <w:rsid w:val="00533591"/>
    <w:rsid w:val="005345E5"/>
    <w:rsid w:val="0053512C"/>
    <w:rsid w:val="00535862"/>
    <w:rsid w:val="00536A32"/>
    <w:rsid w:val="00537686"/>
    <w:rsid w:val="00537E0B"/>
    <w:rsid w:val="005401D5"/>
    <w:rsid w:val="00540FE2"/>
    <w:rsid w:val="0054128A"/>
    <w:rsid w:val="00542312"/>
    <w:rsid w:val="00542E1B"/>
    <w:rsid w:val="00542EB5"/>
    <w:rsid w:val="00545DFE"/>
    <w:rsid w:val="00546798"/>
    <w:rsid w:val="00546B69"/>
    <w:rsid w:val="00546CBF"/>
    <w:rsid w:val="00547E7D"/>
    <w:rsid w:val="00550BB1"/>
    <w:rsid w:val="00550C0E"/>
    <w:rsid w:val="00550D96"/>
    <w:rsid w:val="00552B67"/>
    <w:rsid w:val="00554539"/>
    <w:rsid w:val="00554FFA"/>
    <w:rsid w:val="00555FF0"/>
    <w:rsid w:val="005578A7"/>
    <w:rsid w:val="00560DDC"/>
    <w:rsid w:val="00561D32"/>
    <w:rsid w:val="005624DD"/>
    <w:rsid w:val="00562599"/>
    <w:rsid w:val="005664A1"/>
    <w:rsid w:val="005664B2"/>
    <w:rsid w:val="00572173"/>
    <w:rsid w:val="00573797"/>
    <w:rsid w:val="005754B4"/>
    <w:rsid w:val="005772BA"/>
    <w:rsid w:val="00597081"/>
    <w:rsid w:val="005A0D6D"/>
    <w:rsid w:val="005A2980"/>
    <w:rsid w:val="005A3096"/>
    <w:rsid w:val="005A55F6"/>
    <w:rsid w:val="005A7889"/>
    <w:rsid w:val="005A7E14"/>
    <w:rsid w:val="005B27D2"/>
    <w:rsid w:val="005B383B"/>
    <w:rsid w:val="005B4A91"/>
    <w:rsid w:val="005B50F8"/>
    <w:rsid w:val="005B5463"/>
    <w:rsid w:val="005B642C"/>
    <w:rsid w:val="005B666A"/>
    <w:rsid w:val="005B6FA9"/>
    <w:rsid w:val="005C0D5F"/>
    <w:rsid w:val="005C4CEE"/>
    <w:rsid w:val="005C5CB8"/>
    <w:rsid w:val="005D0D31"/>
    <w:rsid w:val="005D31F8"/>
    <w:rsid w:val="005D3443"/>
    <w:rsid w:val="005D4D1C"/>
    <w:rsid w:val="005D4D49"/>
    <w:rsid w:val="005D6018"/>
    <w:rsid w:val="005D6CDD"/>
    <w:rsid w:val="005D7BE8"/>
    <w:rsid w:val="005E0735"/>
    <w:rsid w:val="005E0BB4"/>
    <w:rsid w:val="005E24EF"/>
    <w:rsid w:val="005F07D7"/>
    <w:rsid w:val="005F536E"/>
    <w:rsid w:val="005F5EFD"/>
    <w:rsid w:val="00600A7A"/>
    <w:rsid w:val="00601F15"/>
    <w:rsid w:val="0060537E"/>
    <w:rsid w:val="006064BB"/>
    <w:rsid w:val="00607EDC"/>
    <w:rsid w:val="0061038D"/>
    <w:rsid w:val="00612796"/>
    <w:rsid w:val="006129A2"/>
    <w:rsid w:val="00613E0C"/>
    <w:rsid w:val="00614168"/>
    <w:rsid w:val="00616AFB"/>
    <w:rsid w:val="006170EE"/>
    <w:rsid w:val="006207C5"/>
    <w:rsid w:val="00620A12"/>
    <w:rsid w:val="00620FA1"/>
    <w:rsid w:val="006212D2"/>
    <w:rsid w:val="006214A0"/>
    <w:rsid w:val="00623B16"/>
    <w:rsid w:val="0062450D"/>
    <w:rsid w:val="006259E8"/>
    <w:rsid w:val="0063008D"/>
    <w:rsid w:val="00630E24"/>
    <w:rsid w:val="006324D2"/>
    <w:rsid w:val="00632768"/>
    <w:rsid w:val="00633F76"/>
    <w:rsid w:val="006345C2"/>
    <w:rsid w:val="0063551D"/>
    <w:rsid w:val="0063704A"/>
    <w:rsid w:val="00637DC8"/>
    <w:rsid w:val="00640701"/>
    <w:rsid w:val="006407EC"/>
    <w:rsid w:val="00641E84"/>
    <w:rsid w:val="00644522"/>
    <w:rsid w:val="00645F91"/>
    <w:rsid w:val="0064762F"/>
    <w:rsid w:val="006511F3"/>
    <w:rsid w:val="006516D1"/>
    <w:rsid w:val="00654F51"/>
    <w:rsid w:val="00656C5C"/>
    <w:rsid w:val="00662D92"/>
    <w:rsid w:val="006632D9"/>
    <w:rsid w:val="00665883"/>
    <w:rsid w:val="00666EB3"/>
    <w:rsid w:val="00671530"/>
    <w:rsid w:val="006723C4"/>
    <w:rsid w:val="00672C3A"/>
    <w:rsid w:val="00674615"/>
    <w:rsid w:val="00674949"/>
    <w:rsid w:val="00674F49"/>
    <w:rsid w:val="006757AE"/>
    <w:rsid w:val="006800A8"/>
    <w:rsid w:val="00680E34"/>
    <w:rsid w:val="00681353"/>
    <w:rsid w:val="00684F6E"/>
    <w:rsid w:val="006858E0"/>
    <w:rsid w:val="0068657B"/>
    <w:rsid w:val="00686AD3"/>
    <w:rsid w:val="00690209"/>
    <w:rsid w:val="0069119E"/>
    <w:rsid w:val="00692958"/>
    <w:rsid w:val="006962C2"/>
    <w:rsid w:val="006972C2"/>
    <w:rsid w:val="00697F0B"/>
    <w:rsid w:val="006A0639"/>
    <w:rsid w:val="006A0AD1"/>
    <w:rsid w:val="006A1668"/>
    <w:rsid w:val="006A187A"/>
    <w:rsid w:val="006A6063"/>
    <w:rsid w:val="006A6271"/>
    <w:rsid w:val="006A6713"/>
    <w:rsid w:val="006B00F0"/>
    <w:rsid w:val="006B6C7B"/>
    <w:rsid w:val="006C3759"/>
    <w:rsid w:val="006C3B3D"/>
    <w:rsid w:val="006C6694"/>
    <w:rsid w:val="006C6F90"/>
    <w:rsid w:val="006D0ABD"/>
    <w:rsid w:val="006D1A6C"/>
    <w:rsid w:val="006D3DA5"/>
    <w:rsid w:val="006D3ED7"/>
    <w:rsid w:val="006D422F"/>
    <w:rsid w:val="006D5242"/>
    <w:rsid w:val="006E19BA"/>
    <w:rsid w:val="006E1E55"/>
    <w:rsid w:val="006E2995"/>
    <w:rsid w:val="006E3A1A"/>
    <w:rsid w:val="006E55DB"/>
    <w:rsid w:val="006E6A40"/>
    <w:rsid w:val="006E7A8A"/>
    <w:rsid w:val="006F162D"/>
    <w:rsid w:val="006F3F28"/>
    <w:rsid w:val="006F4F39"/>
    <w:rsid w:val="006F5689"/>
    <w:rsid w:val="006F5A3B"/>
    <w:rsid w:val="006F6177"/>
    <w:rsid w:val="007008E8"/>
    <w:rsid w:val="00701C4B"/>
    <w:rsid w:val="00702E05"/>
    <w:rsid w:val="00703053"/>
    <w:rsid w:val="00704EAA"/>
    <w:rsid w:val="00706934"/>
    <w:rsid w:val="007072C7"/>
    <w:rsid w:val="0070747B"/>
    <w:rsid w:val="00711838"/>
    <w:rsid w:val="00713097"/>
    <w:rsid w:val="007160B4"/>
    <w:rsid w:val="00716911"/>
    <w:rsid w:val="00716AA1"/>
    <w:rsid w:val="00720278"/>
    <w:rsid w:val="007232DB"/>
    <w:rsid w:val="00723920"/>
    <w:rsid w:val="00725B72"/>
    <w:rsid w:val="00726D9E"/>
    <w:rsid w:val="00730AB0"/>
    <w:rsid w:val="00734D37"/>
    <w:rsid w:val="007357EE"/>
    <w:rsid w:val="00735D9C"/>
    <w:rsid w:val="00737461"/>
    <w:rsid w:val="00737CC4"/>
    <w:rsid w:val="007429A4"/>
    <w:rsid w:val="00743190"/>
    <w:rsid w:val="007435B4"/>
    <w:rsid w:val="00745286"/>
    <w:rsid w:val="00750E5C"/>
    <w:rsid w:val="00750E76"/>
    <w:rsid w:val="007516E0"/>
    <w:rsid w:val="0075231B"/>
    <w:rsid w:val="007538A5"/>
    <w:rsid w:val="00755ACD"/>
    <w:rsid w:val="00755CA4"/>
    <w:rsid w:val="00756A4A"/>
    <w:rsid w:val="00756F38"/>
    <w:rsid w:val="00757BE7"/>
    <w:rsid w:val="00761C27"/>
    <w:rsid w:val="007646C2"/>
    <w:rsid w:val="00765365"/>
    <w:rsid w:val="00766B6C"/>
    <w:rsid w:val="00771477"/>
    <w:rsid w:val="007716D2"/>
    <w:rsid w:val="00772152"/>
    <w:rsid w:val="007731A9"/>
    <w:rsid w:val="0077341A"/>
    <w:rsid w:val="00776A81"/>
    <w:rsid w:val="0078077D"/>
    <w:rsid w:val="00782420"/>
    <w:rsid w:val="00783361"/>
    <w:rsid w:val="00785750"/>
    <w:rsid w:val="0078655E"/>
    <w:rsid w:val="00786B6B"/>
    <w:rsid w:val="00790A36"/>
    <w:rsid w:val="00790B57"/>
    <w:rsid w:val="00791211"/>
    <w:rsid w:val="00793F1F"/>
    <w:rsid w:val="00796614"/>
    <w:rsid w:val="00796764"/>
    <w:rsid w:val="00797132"/>
    <w:rsid w:val="007A1247"/>
    <w:rsid w:val="007A1DDE"/>
    <w:rsid w:val="007A226E"/>
    <w:rsid w:val="007A2BDE"/>
    <w:rsid w:val="007A2CA9"/>
    <w:rsid w:val="007A3CF5"/>
    <w:rsid w:val="007A7326"/>
    <w:rsid w:val="007B7366"/>
    <w:rsid w:val="007B7975"/>
    <w:rsid w:val="007C1BEB"/>
    <w:rsid w:val="007C4818"/>
    <w:rsid w:val="007C4E6E"/>
    <w:rsid w:val="007C53D7"/>
    <w:rsid w:val="007C5AC4"/>
    <w:rsid w:val="007C64B5"/>
    <w:rsid w:val="007D007F"/>
    <w:rsid w:val="007D0F3D"/>
    <w:rsid w:val="007D1A35"/>
    <w:rsid w:val="007D409C"/>
    <w:rsid w:val="007D5BC3"/>
    <w:rsid w:val="007D7228"/>
    <w:rsid w:val="007E053E"/>
    <w:rsid w:val="007E07BA"/>
    <w:rsid w:val="007E7BFE"/>
    <w:rsid w:val="007F005C"/>
    <w:rsid w:val="007F08E8"/>
    <w:rsid w:val="007F1221"/>
    <w:rsid w:val="007F37A0"/>
    <w:rsid w:val="007F519F"/>
    <w:rsid w:val="007F6921"/>
    <w:rsid w:val="007F7B39"/>
    <w:rsid w:val="008010CC"/>
    <w:rsid w:val="00806003"/>
    <w:rsid w:val="008073ED"/>
    <w:rsid w:val="00810A20"/>
    <w:rsid w:val="008120A1"/>
    <w:rsid w:val="0081263D"/>
    <w:rsid w:val="00814E01"/>
    <w:rsid w:val="00816CFD"/>
    <w:rsid w:val="00816F67"/>
    <w:rsid w:val="008176A0"/>
    <w:rsid w:val="00817CAE"/>
    <w:rsid w:val="00820EC9"/>
    <w:rsid w:val="00821870"/>
    <w:rsid w:val="00824AB3"/>
    <w:rsid w:val="008262CA"/>
    <w:rsid w:val="0082660C"/>
    <w:rsid w:val="00826D8F"/>
    <w:rsid w:val="008272E2"/>
    <w:rsid w:val="00830FDA"/>
    <w:rsid w:val="00832057"/>
    <w:rsid w:val="00834B63"/>
    <w:rsid w:val="008361BA"/>
    <w:rsid w:val="008372B8"/>
    <w:rsid w:val="00837748"/>
    <w:rsid w:val="00841E75"/>
    <w:rsid w:val="008444A7"/>
    <w:rsid w:val="00844E69"/>
    <w:rsid w:val="00845202"/>
    <w:rsid w:val="008472F9"/>
    <w:rsid w:val="0084762F"/>
    <w:rsid w:val="00847782"/>
    <w:rsid w:val="00851532"/>
    <w:rsid w:val="00851878"/>
    <w:rsid w:val="00852F36"/>
    <w:rsid w:val="00854CD0"/>
    <w:rsid w:val="008555FF"/>
    <w:rsid w:val="00855640"/>
    <w:rsid w:val="008562D8"/>
    <w:rsid w:val="00864260"/>
    <w:rsid w:val="00865927"/>
    <w:rsid w:val="00870AA6"/>
    <w:rsid w:val="00874E67"/>
    <w:rsid w:val="00882183"/>
    <w:rsid w:val="00885B16"/>
    <w:rsid w:val="00886077"/>
    <w:rsid w:val="00886CFD"/>
    <w:rsid w:val="00891F2C"/>
    <w:rsid w:val="00894874"/>
    <w:rsid w:val="00897FC4"/>
    <w:rsid w:val="008A2DB7"/>
    <w:rsid w:val="008A4BE8"/>
    <w:rsid w:val="008A5679"/>
    <w:rsid w:val="008A5D6D"/>
    <w:rsid w:val="008B0AEF"/>
    <w:rsid w:val="008B2BAB"/>
    <w:rsid w:val="008B3AF7"/>
    <w:rsid w:val="008B4280"/>
    <w:rsid w:val="008B65F9"/>
    <w:rsid w:val="008B6ADD"/>
    <w:rsid w:val="008B6CB9"/>
    <w:rsid w:val="008B78F9"/>
    <w:rsid w:val="008C2568"/>
    <w:rsid w:val="008C2DEB"/>
    <w:rsid w:val="008C6DAF"/>
    <w:rsid w:val="008D1B5F"/>
    <w:rsid w:val="008D3DCE"/>
    <w:rsid w:val="008D4599"/>
    <w:rsid w:val="008D6086"/>
    <w:rsid w:val="008E116A"/>
    <w:rsid w:val="008E19DB"/>
    <w:rsid w:val="008E68DE"/>
    <w:rsid w:val="008E6CC5"/>
    <w:rsid w:val="008E7BC5"/>
    <w:rsid w:val="008F5633"/>
    <w:rsid w:val="008F58D5"/>
    <w:rsid w:val="008F7DFB"/>
    <w:rsid w:val="009013A9"/>
    <w:rsid w:val="00906619"/>
    <w:rsid w:val="00907353"/>
    <w:rsid w:val="0090787A"/>
    <w:rsid w:val="00907CBC"/>
    <w:rsid w:val="009109E8"/>
    <w:rsid w:val="00911941"/>
    <w:rsid w:val="00913605"/>
    <w:rsid w:val="009150DE"/>
    <w:rsid w:val="00915F09"/>
    <w:rsid w:val="009204E7"/>
    <w:rsid w:val="00922ED0"/>
    <w:rsid w:val="00923A85"/>
    <w:rsid w:val="009249DC"/>
    <w:rsid w:val="00926C36"/>
    <w:rsid w:val="00927399"/>
    <w:rsid w:val="00934128"/>
    <w:rsid w:val="009356FE"/>
    <w:rsid w:val="00935982"/>
    <w:rsid w:val="00937F71"/>
    <w:rsid w:val="00940031"/>
    <w:rsid w:val="009400E5"/>
    <w:rsid w:val="009428EA"/>
    <w:rsid w:val="00950090"/>
    <w:rsid w:val="00950D80"/>
    <w:rsid w:val="00950F6C"/>
    <w:rsid w:val="00954F4A"/>
    <w:rsid w:val="009555F0"/>
    <w:rsid w:val="009562E5"/>
    <w:rsid w:val="00960D6D"/>
    <w:rsid w:val="00961135"/>
    <w:rsid w:val="00962241"/>
    <w:rsid w:val="009627DD"/>
    <w:rsid w:val="00962EDD"/>
    <w:rsid w:val="00963267"/>
    <w:rsid w:val="00963D46"/>
    <w:rsid w:val="00964D61"/>
    <w:rsid w:val="00965581"/>
    <w:rsid w:val="00965820"/>
    <w:rsid w:val="0097127E"/>
    <w:rsid w:val="00971A4B"/>
    <w:rsid w:val="00971D2C"/>
    <w:rsid w:val="00972394"/>
    <w:rsid w:val="009739A5"/>
    <w:rsid w:val="00974169"/>
    <w:rsid w:val="0097755E"/>
    <w:rsid w:val="009821AE"/>
    <w:rsid w:val="00983D10"/>
    <w:rsid w:val="00985091"/>
    <w:rsid w:val="00985926"/>
    <w:rsid w:val="00985C5D"/>
    <w:rsid w:val="00985EA8"/>
    <w:rsid w:val="00986E88"/>
    <w:rsid w:val="009915D0"/>
    <w:rsid w:val="00991855"/>
    <w:rsid w:val="009934C6"/>
    <w:rsid w:val="00993E8F"/>
    <w:rsid w:val="009950C8"/>
    <w:rsid w:val="009965E9"/>
    <w:rsid w:val="00996AE1"/>
    <w:rsid w:val="009A08A6"/>
    <w:rsid w:val="009A185F"/>
    <w:rsid w:val="009A197D"/>
    <w:rsid w:val="009A445A"/>
    <w:rsid w:val="009A64EF"/>
    <w:rsid w:val="009A671F"/>
    <w:rsid w:val="009A686E"/>
    <w:rsid w:val="009A6EF2"/>
    <w:rsid w:val="009A712D"/>
    <w:rsid w:val="009B0109"/>
    <w:rsid w:val="009B0336"/>
    <w:rsid w:val="009B1789"/>
    <w:rsid w:val="009B1853"/>
    <w:rsid w:val="009B1926"/>
    <w:rsid w:val="009B22D3"/>
    <w:rsid w:val="009B28FB"/>
    <w:rsid w:val="009B32F0"/>
    <w:rsid w:val="009B3347"/>
    <w:rsid w:val="009B3CBD"/>
    <w:rsid w:val="009B60EC"/>
    <w:rsid w:val="009C075F"/>
    <w:rsid w:val="009C0FCC"/>
    <w:rsid w:val="009C115F"/>
    <w:rsid w:val="009C1419"/>
    <w:rsid w:val="009C3185"/>
    <w:rsid w:val="009C373E"/>
    <w:rsid w:val="009C66C8"/>
    <w:rsid w:val="009D2833"/>
    <w:rsid w:val="009D37FD"/>
    <w:rsid w:val="009D4AD2"/>
    <w:rsid w:val="009D4FB0"/>
    <w:rsid w:val="009D5578"/>
    <w:rsid w:val="009D56ED"/>
    <w:rsid w:val="009D6411"/>
    <w:rsid w:val="009D6968"/>
    <w:rsid w:val="009D69D2"/>
    <w:rsid w:val="009E22C9"/>
    <w:rsid w:val="009E3B34"/>
    <w:rsid w:val="009E3F1D"/>
    <w:rsid w:val="009E5958"/>
    <w:rsid w:val="009E650C"/>
    <w:rsid w:val="009F1895"/>
    <w:rsid w:val="009F3F49"/>
    <w:rsid w:val="009F5B45"/>
    <w:rsid w:val="009F61DE"/>
    <w:rsid w:val="009F6591"/>
    <w:rsid w:val="00A01A9C"/>
    <w:rsid w:val="00A03A3D"/>
    <w:rsid w:val="00A046BF"/>
    <w:rsid w:val="00A0588B"/>
    <w:rsid w:val="00A05DA3"/>
    <w:rsid w:val="00A0632B"/>
    <w:rsid w:val="00A06548"/>
    <w:rsid w:val="00A0665F"/>
    <w:rsid w:val="00A10C77"/>
    <w:rsid w:val="00A12D1B"/>
    <w:rsid w:val="00A14043"/>
    <w:rsid w:val="00A14419"/>
    <w:rsid w:val="00A20843"/>
    <w:rsid w:val="00A21FAF"/>
    <w:rsid w:val="00A228B7"/>
    <w:rsid w:val="00A2416F"/>
    <w:rsid w:val="00A25DFF"/>
    <w:rsid w:val="00A260E4"/>
    <w:rsid w:val="00A27338"/>
    <w:rsid w:val="00A307CC"/>
    <w:rsid w:val="00A314B5"/>
    <w:rsid w:val="00A314F0"/>
    <w:rsid w:val="00A315D0"/>
    <w:rsid w:val="00A324AA"/>
    <w:rsid w:val="00A343DD"/>
    <w:rsid w:val="00A36DD6"/>
    <w:rsid w:val="00A37365"/>
    <w:rsid w:val="00A404A2"/>
    <w:rsid w:val="00A425F7"/>
    <w:rsid w:val="00A46873"/>
    <w:rsid w:val="00A46AE5"/>
    <w:rsid w:val="00A473FD"/>
    <w:rsid w:val="00A517CF"/>
    <w:rsid w:val="00A52CE9"/>
    <w:rsid w:val="00A53026"/>
    <w:rsid w:val="00A54DC5"/>
    <w:rsid w:val="00A55D89"/>
    <w:rsid w:val="00A5686C"/>
    <w:rsid w:val="00A57EA8"/>
    <w:rsid w:val="00A63028"/>
    <w:rsid w:val="00A6372F"/>
    <w:rsid w:val="00A6600D"/>
    <w:rsid w:val="00A67D80"/>
    <w:rsid w:val="00A733A0"/>
    <w:rsid w:val="00A75892"/>
    <w:rsid w:val="00A80CA9"/>
    <w:rsid w:val="00A81500"/>
    <w:rsid w:val="00A8242A"/>
    <w:rsid w:val="00A82B0E"/>
    <w:rsid w:val="00A82DC2"/>
    <w:rsid w:val="00A82E83"/>
    <w:rsid w:val="00A82EBF"/>
    <w:rsid w:val="00A8794C"/>
    <w:rsid w:val="00A919FB"/>
    <w:rsid w:val="00A91B43"/>
    <w:rsid w:val="00A92A57"/>
    <w:rsid w:val="00A92D76"/>
    <w:rsid w:val="00A9332B"/>
    <w:rsid w:val="00A93ECF"/>
    <w:rsid w:val="00A946C7"/>
    <w:rsid w:val="00A94EFB"/>
    <w:rsid w:val="00A95395"/>
    <w:rsid w:val="00A967F2"/>
    <w:rsid w:val="00A97F09"/>
    <w:rsid w:val="00A97F6C"/>
    <w:rsid w:val="00AA3F58"/>
    <w:rsid w:val="00AA464B"/>
    <w:rsid w:val="00AA5767"/>
    <w:rsid w:val="00AA5DB5"/>
    <w:rsid w:val="00AA7AFB"/>
    <w:rsid w:val="00AB00AE"/>
    <w:rsid w:val="00AB37EC"/>
    <w:rsid w:val="00AB57A4"/>
    <w:rsid w:val="00AC0771"/>
    <w:rsid w:val="00AC0BC1"/>
    <w:rsid w:val="00AC1500"/>
    <w:rsid w:val="00AC168D"/>
    <w:rsid w:val="00AC2212"/>
    <w:rsid w:val="00AC2F17"/>
    <w:rsid w:val="00AC2F46"/>
    <w:rsid w:val="00AC50C4"/>
    <w:rsid w:val="00AC6B36"/>
    <w:rsid w:val="00AD0735"/>
    <w:rsid w:val="00AD4815"/>
    <w:rsid w:val="00AD668E"/>
    <w:rsid w:val="00AD7CA1"/>
    <w:rsid w:val="00AE009C"/>
    <w:rsid w:val="00AE045D"/>
    <w:rsid w:val="00AE21A7"/>
    <w:rsid w:val="00AE4985"/>
    <w:rsid w:val="00AE55C8"/>
    <w:rsid w:val="00AE6738"/>
    <w:rsid w:val="00AE7B7D"/>
    <w:rsid w:val="00AF37F7"/>
    <w:rsid w:val="00AF40EC"/>
    <w:rsid w:val="00AF44FF"/>
    <w:rsid w:val="00AF5A13"/>
    <w:rsid w:val="00B00C17"/>
    <w:rsid w:val="00B010F9"/>
    <w:rsid w:val="00B02502"/>
    <w:rsid w:val="00B03079"/>
    <w:rsid w:val="00B0309A"/>
    <w:rsid w:val="00B03C78"/>
    <w:rsid w:val="00B047C8"/>
    <w:rsid w:val="00B06679"/>
    <w:rsid w:val="00B07027"/>
    <w:rsid w:val="00B10F25"/>
    <w:rsid w:val="00B11969"/>
    <w:rsid w:val="00B1324C"/>
    <w:rsid w:val="00B14963"/>
    <w:rsid w:val="00B15582"/>
    <w:rsid w:val="00B15949"/>
    <w:rsid w:val="00B21865"/>
    <w:rsid w:val="00B220B9"/>
    <w:rsid w:val="00B22D2C"/>
    <w:rsid w:val="00B22DA0"/>
    <w:rsid w:val="00B26B93"/>
    <w:rsid w:val="00B277E3"/>
    <w:rsid w:val="00B302EE"/>
    <w:rsid w:val="00B31B16"/>
    <w:rsid w:val="00B320AA"/>
    <w:rsid w:val="00B32BA5"/>
    <w:rsid w:val="00B32DDB"/>
    <w:rsid w:val="00B33C8D"/>
    <w:rsid w:val="00B37119"/>
    <w:rsid w:val="00B37F2F"/>
    <w:rsid w:val="00B42E9D"/>
    <w:rsid w:val="00B44C91"/>
    <w:rsid w:val="00B45AC7"/>
    <w:rsid w:val="00B47606"/>
    <w:rsid w:val="00B5000F"/>
    <w:rsid w:val="00B506BF"/>
    <w:rsid w:val="00B50A0B"/>
    <w:rsid w:val="00B51273"/>
    <w:rsid w:val="00B51E33"/>
    <w:rsid w:val="00B5249C"/>
    <w:rsid w:val="00B5299F"/>
    <w:rsid w:val="00B5364C"/>
    <w:rsid w:val="00B541C9"/>
    <w:rsid w:val="00B54FBE"/>
    <w:rsid w:val="00B55A47"/>
    <w:rsid w:val="00B56E1F"/>
    <w:rsid w:val="00B56E22"/>
    <w:rsid w:val="00B602A8"/>
    <w:rsid w:val="00B62D99"/>
    <w:rsid w:val="00B6340A"/>
    <w:rsid w:val="00B634E6"/>
    <w:rsid w:val="00B67D98"/>
    <w:rsid w:val="00B7004D"/>
    <w:rsid w:val="00B72005"/>
    <w:rsid w:val="00B7330C"/>
    <w:rsid w:val="00B73A88"/>
    <w:rsid w:val="00B747B2"/>
    <w:rsid w:val="00B74A65"/>
    <w:rsid w:val="00B76EDE"/>
    <w:rsid w:val="00B7719B"/>
    <w:rsid w:val="00B8020B"/>
    <w:rsid w:val="00B83C21"/>
    <w:rsid w:val="00B86BE2"/>
    <w:rsid w:val="00B873B7"/>
    <w:rsid w:val="00B87FF4"/>
    <w:rsid w:val="00B907E9"/>
    <w:rsid w:val="00B944F7"/>
    <w:rsid w:val="00B946EE"/>
    <w:rsid w:val="00B9594F"/>
    <w:rsid w:val="00B95DFE"/>
    <w:rsid w:val="00B96509"/>
    <w:rsid w:val="00BA4A9D"/>
    <w:rsid w:val="00BA4CD7"/>
    <w:rsid w:val="00BA7919"/>
    <w:rsid w:val="00BA7D9D"/>
    <w:rsid w:val="00BB365B"/>
    <w:rsid w:val="00BB379C"/>
    <w:rsid w:val="00BB49A6"/>
    <w:rsid w:val="00BB658F"/>
    <w:rsid w:val="00BB667B"/>
    <w:rsid w:val="00BC0CF8"/>
    <w:rsid w:val="00BC27ED"/>
    <w:rsid w:val="00BC2C29"/>
    <w:rsid w:val="00BC2CF1"/>
    <w:rsid w:val="00BC5C1F"/>
    <w:rsid w:val="00BC6927"/>
    <w:rsid w:val="00BC7836"/>
    <w:rsid w:val="00BC7CDB"/>
    <w:rsid w:val="00BD02EC"/>
    <w:rsid w:val="00BD0628"/>
    <w:rsid w:val="00BD18DA"/>
    <w:rsid w:val="00BD1D7A"/>
    <w:rsid w:val="00BD2205"/>
    <w:rsid w:val="00BD24AF"/>
    <w:rsid w:val="00BD4586"/>
    <w:rsid w:val="00BD4F3F"/>
    <w:rsid w:val="00BD4FFD"/>
    <w:rsid w:val="00BD5609"/>
    <w:rsid w:val="00BD5E76"/>
    <w:rsid w:val="00BE21C2"/>
    <w:rsid w:val="00BE38BD"/>
    <w:rsid w:val="00BE3AF7"/>
    <w:rsid w:val="00BE401E"/>
    <w:rsid w:val="00BE421A"/>
    <w:rsid w:val="00BE604D"/>
    <w:rsid w:val="00BE6C0E"/>
    <w:rsid w:val="00BF12B3"/>
    <w:rsid w:val="00BF13DC"/>
    <w:rsid w:val="00BF14B3"/>
    <w:rsid w:val="00BF2551"/>
    <w:rsid w:val="00BF438E"/>
    <w:rsid w:val="00BF489B"/>
    <w:rsid w:val="00BF4DBA"/>
    <w:rsid w:val="00BF5178"/>
    <w:rsid w:val="00BF5E7E"/>
    <w:rsid w:val="00C008C9"/>
    <w:rsid w:val="00C00BCE"/>
    <w:rsid w:val="00C02059"/>
    <w:rsid w:val="00C02E83"/>
    <w:rsid w:val="00C05E8C"/>
    <w:rsid w:val="00C07581"/>
    <w:rsid w:val="00C11259"/>
    <w:rsid w:val="00C12D86"/>
    <w:rsid w:val="00C14700"/>
    <w:rsid w:val="00C1506B"/>
    <w:rsid w:val="00C15B6D"/>
    <w:rsid w:val="00C16562"/>
    <w:rsid w:val="00C17300"/>
    <w:rsid w:val="00C17D0F"/>
    <w:rsid w:val="00C21377"/>
    <w:rsid w:val="00C22CE4"/>
    <w:rsid w:val="00C22FF5"/>
    <w:rsid w:val="00C24307"/>
    <w:rsid w:val="00C260C9"/>
    <w:rsid w:val="00C30078"/>
    <w:rsid w:val="00C3260D"/>
    <w:rsid w:val="00C33D3F"/>
    <w:rsid w:val="00C3421B"/>
    <w:rsid w:val="00C34CE4"/>
    <w:rsid w:val="00C36B61"/>
    <w:rsid w:val="00C37F05"/>
    <w:rsid w:val="00C412A8"/>
    <w:rsid w:val="00C42877"/>
    <w:rsid w:val="00C43688"/>
    <w:rsid w:val="00C43BB4"/>
    <w:rsid w:val="00C46E7C"/>
    <w:rsid w:val="00C47570"/>
    <w:rsid w:val="00C50A7B"/>
    <w:rsid w:val="00C50BDA"/>
    <w:rsid w:val="00C5158B"/>
    <w:rsid w:val="00C52DCC"/>
    <w:rsid w:val="00C545DE"/>
    <w:rsid w:val="00C630A0"/>
    <w:rsid w:val="00C64A6F"/>
    <w:rsid w:val="00C712F0"/>
    <w:rsid w:val="00C735DB"/>
    <w:rsid w:val="00C73A70"/>
    <w:rsid w:val="00C74B55"/>
    <w:rsid w:val="00C75B81"/>
    <w:rsid w:val="00C772CF"/>
    <w:rsid w:val="00C77740"/>
    <w:rsid w:val="00C81CA7"/>
    <w:rsid w:val="00C82DD1"/>
    <w:rsid w:val="00C856C4"/>
    <w:rsid w:val="00C902D3"/>
    <w:rsid w:val="00C90B3E"/>
    <w:rsid w:val="00C90C54"/>
    <w:rsid w:val="00C91B74"/>
    <w:rsid w:val="00C92ABC"/>
    <w:rsid w:val="00C92F5C"/>
    <w:rsid w:val="00C933D4"/>
    <w:rsid w:val="00C9402A"/>
    <w:rsid w:val="00C94FA3"/>
    <w:rsid w:val="00C95B1D"/>
    <w:rsid w:val="00CA0219"/>
    <w:rsid w:val="00CA0700"/>
    <w:rsid w:val="00CA1CB4"/>
    <w:rsid w:val="00CA2D05"/>
    <w:rsid w:val="00CA64BC"/>
    <w:rsid w:val="00CA67AF"/>
    <w:rsid w:val="00CA6DDF"/>
    <w:rsid w:val="00CA7A37"/>
    <w:rsid w:val="00CB0DD4"/>
    <w:rsid w:val="00CB115F"/>
    <w:rsid w:val="00CB1516"/>
    <w:rsid w:val="00CB23C8"/>
    <w:rsid w:val="00CB470F"/>
    <w:rsid w:val="00CB6C21"/>
    <w:rsid w:val="00CB78DD"/>
    <w:rsid w:val="00CC10A0"/>
    <w:rsid w:val="00CC295C"/>
    <w:rsid w:val="00CC323E"/>
    <w:rsid w:val="00CC554C"/>
    <w:rsid w:val="00CC59C8"/>
    <w:rsid w:val="00CD02E3"/>
    <w:rsid w:val="00CD0E99"/>
    <w:rsid w:val="00CD11E1"/>
    <w:rsid w:val="00CD1918"/>
    <w:rsid w:val="00CD1D4E"/>
    <w:rsid w:val="00CD2410"/>
    <w:rsid w:val="00CD4E5E"/>
    <w:rsid w:val="00CD67B0"/>
    <w:rsid w:val="00CD7B15"/>
    <w:rsid w:val="00CD7B90"/>
    <w:rsid w:val="00CE38B0"/>
    <w:rsid w:val="00CE38E6"/>
    <w:rsid w:val="00CE3BBE"/>
    <w:rsid w:val="00CE3BE9"/>
    <w:rsid w:val="00CE4E8B"/>
    <w:rsid w:val="00CE4F8B"/>
    <w:rsid w:val="00CE66D0"/>
    <w:rsid w:val="00CF05AF"/>
    <w:rsid w:val="00CF28DC"/>
    <w:rsid w:val="00CF4418"/>
    <w:rsid w:val="00CF785A"/>
    <w:rsid w:val="00CF78B4"/>
    <w:rsid w:val="00D029F9"/>
    <w:rsid w:val="00D02B16"/>
    <w:rsid w:val="00D033FE"/>
    <w:rsid w:val="00D07380"/>
    <w:rsid w:val="00D1056E"/>
    <w:rsid w:val="00D13B04"/>
    <w:rsid w:val="00D140B1"/>
    <w:rsid w:val="00D152B6"/>
    <w:rsid w:val="00D21D7D"/>
    <w:rsid w:val="00D22A04"/>
    <w:rsid w:val="00D2362E"/>
    <w:rsid w:val="00D2460A"/>
    <w:rsid w:val="00D26555"/>
    <w:rsid w:val="00D26F5B"/>
    <w:rsid w:val="00D27FCB"/>
    <w:rsid w:val="00D3150E"/>
    <w:rsid w:val="00D3210C"/>
    <w:rsid w:val="00D33E70"/>
    <w:rsid w:val="00D3418D"/>
    <w:rsid w:val="00D352EE"/>
    <w:rsid w:val="00D3788A"/>
    <w:rsid w:val="00D40CED"/>
    <w:rsid w:val="00D410D9"/>
    <w:rsid w:val="00D439A5"/>
    <w:rsid w:val="00D447E2"/>
    <w:rsid w:val="00D44D97"/>
    <w:rsid w:val="00D47985"/>
    <w:rsid w:val="00D5217A"/>
    <w:rsid w:val="00D5222B"/>
    <w:rsid w:val="00D553AD"/>
    <w:rsid w:val="00D562DC"/>
    <w:rsid w:val="00D563EE"/>
    <w:rsid w:val="00D57F60"/>
    <w:rsid w:val="00D600EB"/>
    <w:rsid w:val="00D617DB"/>
    <w:rsid w:val="00D61FC2"/>
    <w:rsid w:val="00D64CD7"/>
    <w:rsid w:val="00D65435"/>
    <w:rsid w:val="00D65996"/>
    <w:rsid w:val="00D66686"/>
    <w:rsid w:val="00D6748A"/>
    <w:rsid w:val="00D72709"/>
    <w:rsid w:val="00D72856"/>
    <w:rsid w:val="00D736D4"/>
    <w:rsid w:val="00D77553"/>
    <w:rsid w:val="00D77F79"/>
    <w:rsid w:val="00D80A04"/>
    <w:rsid w:val="00D8254D"/>
    <w:rsid w:val="00D83400"/>
    <w:rsid w:val="00D8603E"/>
    <w:rsid w:val="00D86B27"/>
    <w:rsid w:val="00D871A4"/>
    <w:rsid w:val="00D875E3"/>
    <w:rsid w:val="00D90B81"/>
    <w:rsid w:val="00D91542"/>
    <w:rsid w:val="00D91E48"/>
    <w:rsid w:val="00D9224C"/>
    <w:rsid w:val="00D9249E"/>
    <w:rsid w:val="00D92B4D"/>
    <w:rsid w:val="00D949A1"/>
    <w:rsid w:val="00D96DE8"/>
    <w:rsid w:val="00DA1589"/>
    <w:rsid w:val="00DA2AE7"/>
    <w:rsid w:val="00DA4DD5"/>
    <w:rsid w:val="00DA659D"/>
    <w:rsid w:val="00DA6883"/>
    <w:rsid w:val="00DB0BE4"/>
    <w:rsid w:val="00DB3064"/>
    <w:rsid w:val="00DB5DC9"/>
    <w:rsid w:val="00DB6AC4"/>
    <w:rsid w:val="00DC129D"/>
    <w:rsid w:val="00DC370D"/>
    <w:rsid w:val="00DC402C"/>
    <w:rsid w:val="00DC5A05"/>
    <w:rsid w:val="00DD1A86"/>
    <w:rsid w:val="00DD2F6A"/>
    <w:rsid w:val="00DD5063"/>
    <w:rsid w:val="00DD5722"/>
    <w:rsid w:val="00DD6499"/>
    <w:rsid w:val="00DD6FF1"/>
    <w:rsid w:val="00DD7254"/>
    <w:rsid w:val="00DE1DF1"/>
    <w:rsid w:val="00DE230E"/>
    <w:rsid w:val="00DE2CF8"/>
    <w:rsid w:val="00DE505C"/>
    <w:rsid w:val="00DE68CA"/>
    <w:rsid w:val="00DE73FB"/>
    <w:rsid w:val="00DE7FB1"/>
    <w:rsid w:val="00DF00FE"/>
    <w:rsid w:val="00DF7046"/>
    <w:rsid w:val="00E02424"/>
    <w:rsid w:val="00E044B3"/>
    <w:rsid w:val="00E05C59"/>
    <w:rsid w:val="00E06D1D"/>
    <w:rsid w:val="00E07866"/>
    <w:rsid w:val="00E11AF4"/>
    <w:rsid w:val="00E13811"/>
    <w:rsid w:val="00E1394B"/>
    <w:rsid w:val="00E13A0B"/>
    <w:rsid w:val="00E14D4B"/>
    <w:rsid w:val="00E168B7"/>
    <w:rsid w:val="00E172DC"/>
    <w:rsid w:val="00E23473"/>
    <w:rsid w:val="00E276C3"/>
    <w:rsid w:val="00E30148"/>
    <w:rsid w:val="00E303EB"/>
    <w:rsid w:val="00E31C8D"/>
    <w:rsid w:val="00E32156"/>
    <w:rsid w:val="00E33A4A"/>
    <w:rsid w:val="00E33A7B"/>
    <w:rsid w:val="00E33D1A"/>
    <w:rsid w:val="00E34214"/>
    <w:rsid w:val="00E34649"/>
    <w:rsid w:val="00E37CFA"/>
    <w:rsid w:val="00E37E59"/>
    <w:rsid w:val="00E40E62"/>
    <w:rsid w:val="00E41120"/>
    <w:rsid w:val="00E437EF"/>
    <w:rsid w:val="00E444C6"/>
    <w:rsid w:val="00E476CB"/>
    <w:rsid w:val="00E506F8"/>
    <w:rsid w:val="00E508D5"/>
    <w:rsid w:val="00E51143"/>
    <w:rsid w:val="00E5233A"/>
    <w:rsid w:val="00E52DAE"/>
    <w:rsid w:val="00E53294"/>
    <w:rsid w:val="00E54715"/>
    <w:rsid w:val="00E5493D"/>
    <w:rsid w:val="00E55177"/>
    <w:rsid w:val="00E60745"/>
    <w:rsid w:val="00E613BE"/>
    <w:rsid w:val="00E63B0E"/>
    <w:rsid w:val="00E64654"/>
    <w:rsid w:val="00E71904"/>
    <w:rsid w:val="00E71E16"/>
    <w:rsid w:val="00E734F7"/>
    <w:rsid w:val="00E77F11"/>
    <w:rsid w:val="00E834F9"/>
    <w:rsid w:val="00E856EC"/>
    <w:rsid w:val="00E858D2"/>
    <w:rsid w:val="00E86532"/>
    <w:rsid w:val="00E87F23"/>
    <w:rsid w:val="00E900AF"/>
    <w:rsid w:val="00E94303"/>
    <w:rsid w:val="00E94849"/>
    <w:rsid w:val="00E94CD0"/>
    <w:rsid w:val="00E97E3A"/>
    <w:rsid w:val="00EA0F2B"/>
    <w:rsid w:val="00EA1945"/>
    <w:rsid w:val="00EA2695"/>
    <w:rsid w:val="00EA3CE6"/>
    <w:rsid w:val="00EA40F6"/>
    <w:rsid w:val="00EA463C"/>
    <w:rsid w:val="00EA4C36"/>
    <w:rsid w:val="00EA51B4"/>
    <w:rsid w:val="00EA5C9F"/>
    <w:rsid w:val="00EB083C"/>
    <w:rsid w:val="00EB245C"/>
    <w:rsid w:val="00EB2DB5"/>
    <w:rsid w:val="00EB62EF"/>
    <w:rsid w:val="00EB6409"/>
    <w:rsid w:val="00EB6499"/>
    <w:rsid w:val="00EC040A"/>
    <w:rsid w:val="00EC0D20"/>
    <w:rsid w:val="00EC47F3"/>
    <w:rsid w:val="00EC61B6"/>
    <w:rsid w:val="00EC6800"/>
    <w:rsid w:val="00EC7467"/>
    <w:rsid w:val="00ED300A"/>
    <w:rsid w:val="00ED6B1D"/>
    <w:rsid w:val="00EE337C"/>
    <w:rsid w:val="00EE4971"/>
    <w:rsid w:val="00EE50BE"/>
    <w:rsid w:val="00EE6D51"/>
    <w:rsid w:val="00EF0D9F"/>
    <w:rsid w:val="00EF26BF"/>
    <w:rsid w:val="00EF31D2"/>
    <w:rsid w:val="00EF6A70"/>
    <w:rsid w:val="00F0121B"/>
    <w:rsid w:val="00F02A9B"/>
    <w:rsid w:val="00F02B37"/>
    <w:rsid w:val="00F03D71"/>
    <w:rsid w:val="00F0579B"/>
    <w:rsid w:val="00F06759"/>
    <w:rsid w:val="00F07288"/>
    <w:rsid w:val="00F07342"/>
    <w:rsid w:val="00F110A3"/>
    <w:rsid w:val="00F11F06"/>
    <w:rsid w:val="00F1221A"/>
    <w:rsid w:val="00F123BF"/>
    <w:rsid w:val="00F1399F"/>
    <w:rsid w:val="00F13BBA"/>
    <w:rsid w:val="00F16EF6"/>
    <w:rsid w:val="00F2035C"/>
    <w:rsid w:val="00F20690"/>
    <w:rsid w:val="00F22A89"/>
    <w:rsid w:val="00F22AAB"/>
    <w:rsid w:val="00F22D3A"/>
    <w:rsid w:val="00F2439D"/>
    <w:rsid w:val="00F26E69"/>
    <w:rsid w:val="00F27114"/>
    <w:rsid w:val="00F3291A"/>
    <w:rsid w:val="00F33D17"/>
    <w:rsid w:val="00F41FA0"/>
    <w:rsid w:val="00F41FC6"/>
    <w:rsid w:val="00F43A61"/>
    <w:rsid w:val="00F45229"/>
    <w:rsid w:val="00F46E2F"/>
    <w:rsid w:val="00F51868"/>
    <w:rsid w:val="00F519AB"/>
    <w:rsid w:val="00F53A43"/>
    <w:rsid w:val="00F53E60"/>
    <w:rsid w:val="00F54896"/>
    <w:rsid w:val="00F56033"/>
    <w:rsid w:val="00F564A4"/>
    <w:rsid w:val="00F62D4E"/>
    <w:rsid w:val="00F62FEE"/>
    <w:rsid w:val="00F646B8"/>
    <w:rsid w:val="00F672EE"/>
    <w:rsid w:val="00F67BE1"/>
    <w:rsid w:val="00F72928"/>
    <w:rsid w:val="00F73DB1"/>
    <w:rsid w:val="00F74FDA"/>
    <w:rsid w:val="00F8107C"/>
    <w:rsid w:val="00F84445"/>
    <w:rsid w:val="00F84927"/>
    <w:rsid w:val="00F84E65"/>
    <w:rsid w:val="00F85F5B"/>
    <w:rsid w:val="00F8705D"/>
    <w:rsid w:val="00F901B3"/>
    <w:rsid w:val="00F90D0B"/>
    <w:rsid w:val="00F91A3F"/>
    <w:rsid w:val="00F91E6D"/>
    <w:rsid w:val="00F931C9"/>
    <w:rsid w:val="00F9472F"/>
    <w:rsid w:val="00F9564C"/>
    <w:rsid w:val="00F97D38"/>
    <w:rsid w:val="00FA1670"/>
    <w:rsid w:val="00FA2E83"/>
    <w:rsid w:val="00FA4999"/>
    <w:rsid w:val="00FA5258"/>
    <w:rsid w:val="00FA6C57"/>
    <w:rsid w:val="00FA7CB7"/>
    <w:rsid w:val="00FB196C"/>
    <w:rsid w:val="00FB1ADE"/>
    <w:rsid w:val="00FB31ED"/>
    <w:rsid w:val="00FB35A5"/>
    <w:rsid w:val="00FB5542"/>
    <w:rsid w:val="00FB56C6"/>
    <w:rsid w:val="00FB6B68"/>
    <w:rsid w:val="00FB790E"/>
    <w:rsid w:val="00FC3619"/>
    <w:rsid w:val="00FC381A"/>
    <w:rsid w:val="00FC4321"/>
    <w:rsid w:val="00FC470B"/>
    <w:rsid w:val="00FC5D5F"/>
    <w:rsid w:val="00FD04B1"/>
    <w:rsid w:val="00FD19C1"/>
    <w:rsid w:val="00FD1E0C"/>
    <w:rsid w:val="00FD393D"/>
    <w:rsid w:val="00FD3974"/>
    <w:rsid w:val="00FD489B"/>
    <w:rsid w:val="00FD577C"/>
    <w:rsid w:val="00FD7B24"/>
    <w:rsid w:val="00FE3A2E"/>
    <w:rsid w:val="00FE4BBE"/>
    <w:rsid w:val="00FE4BE3"/>
    <w:rsid w:val="00FE7B49"/>
    <w:rsid w:val="00FF0142"/>
    <w:rsid w:val="00FF1520"/>
    <w:rsid w:val="00FF2C7F"/>
    <w:rsid w:val="00FF397A"/>
    <w:rsid w:val="00FF49B5"/>
    <w:rsid w:val="00FF513A"/>
    <w:rsid w:val="00FF6142"/>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1668"/>
  <w15:chartTrackingRefBased/>
  <w15:docId w15:val="{153BE981-6112-4360-BB56-62CFEE4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D2C"/>
    <w:rPr>
      <w:sz w:val="24"/>
      <w:szCs w:val="24"/>
      <w:lang w:eastAsia="ru-RU"/>
    </w:rPr>
  </w:style>
  <w:style w:type="paragraph" w:styleId="1">
    <w:name w:val="heading 1"/>
    <w:basedOn w:val="a"/>
    <w:next w:val="a0"/>
    <w:link w:val="10"/>
    <w:qFormat/>
    <w:rsid w:val="00FD7B24"/>
    <w:pPr>
      <w:keepNext/>
      <w:keepLines/>
      <w:numPr>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0"/>
    </w:pPr>
    <w:rPr>
      <w:b/>
      <w:caps/>
      <w:u w:val="single"/>
    </w:rPr>
  </w:style>
  <w:style w:type="paragraph" w:styleId="2">
    <w:name w:val="heading 2"/>
    <w:basedOn w:val="a"/>
    <w:next w:val="a0"/>
    <w:link w:val="20"/>
    <w:qFormat/>
    <w:rsid w:val="00FD7B24"/>
    <w:pPr>
      <w:keepNext/>
      <w:keepLines/>
      <w:numPr>
        <w:ilvl w:val="1"/>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1"/>
    </w:pPr>
    <w:rPr>
      <w:b/>
      <w:caps/>
    </w:rPr>
  </w:style>
  <w:style w:type="paragraph" w:styleId="3">
    <w:name w:val="heading 3"/>
    <w:basedOn w:val="a"/>
    <w:next w:val="a0"/>
    <w:link w:val="30"/>
    <w:qFormat/>
    <w:rsid w:val="00FD7B24"/>
    <w:pPr>
      <w:keepNext/>
      <w:keepLines/>
      <w:numPr>
        <w:ilvl w:val="2"/>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2"/>
    </w:pPr>
    <w:rPr>
      <w:b/>
    </w:rPr>
  </w:style>
  <w:style w:type="paragraph" w:styleId="4">
    <w:name w:val="heading 4"/>
    <w:basedOn w:val="a"/>
    <w:next w:val="a0"/>
    <w:link w:val="40"/>
    <w:qFormat/>
    <w:rsid w:val="00FD7B24"/>
    <w:pPr>
      <w:keepNext/>
      <w:keepLines/>
      <w:numPr>
        <w:ilvl w:val="3"/>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3"/>
    </w:pPr>
    <w:rPr>
      <w:b/>
      <w:i/>
    </w:rPr>
  </w:style>
  <w:style w:type="paragraph" w:styleId="5">
    <w:name w:val="heading 5"/>
    <w:basedOn w:val="a"/>
    <w:next w:val="a0"/>
    <w:link w:val="50"/>
    <w:qFormat/>
    <w:rsid w:val="00FD7B24"/>
    <w:pPr>
      <w:keepNext/>
      <w:keepLines/>
      <w:numPr>
        <w:ilvl w:val="4"/>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4"/>
    </w:pPr>
    <w:rPr>
      <w:b/>
      <w:i/>
    </w:rPr>
  </w:style>
  <w:style w:type="paragraph" w:styleId="6">
    <w:name w:val="heading 6"/>
    <w:basedOn w:val="a"/>
    <w:next w:val="a0"/>
    <w:link w:val="60"/>
    <w:qFormat/>
    <w:rsid w:val="00FD7B24"/>
    <w:pPr>
      <w:keepNext/>
      <w:keepLines/>
      <w:numPr>
        <w:ilvl w:val="5"/>
        <w:numId w:val="9"/>
      </w:numPr>
      <w:tabs>
        <w:tab w:val="left" w:pos="-1134"/>
        <w:tab w:val="left" w:pos="0"/>
        <w:tab w:val="left" w:pos="2268"/>
        <w:tab w:val="left" w:pos="3402"/>
        <w:tab w:val="left" w:pos="4536"/>
        <w:tab w:val="left" w:pos="5670"/>
        <w:tab w:val="left" w:pos="6804"/>
        <w:tab w:val="left" w:pos="7938"/>
        <w:tab w:val="left" w:pos="9072"/>
        <w:tab w:val="left" w:pos="10206"/>
      </w:tabs>
      <w:outlineLvl w:val="5"/>
    </w:pPr>
    <w:rPr>
      <w:caps/>
      <w:u w:val="single"/>
    </w:rPr>
  </w:style>
  <w:style w:type="paragraph" w:styleId="7">
    <w:name w:val="heading 7"/>
    <w:basedOn w:val="a"/>
    <w:next w:val="a0"/>
    <w:link w:val="70"/>
    <w:qFormat/>
    <w:rsid w:val="00FD7B24"/>
    <w:pPr>
      <w:keepNext/>
      <w:keepLines/>
      <w:numPr>
        <w:ilvl w:val="6"/>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6"/>
    </w:pPr>
    <w:rPr>
      <w:caps/>
    </w:rPr>
  </w:style>
  <w:style w:type="paragraph" w:styleId="8">
    <w:name w:val="heading 8"/>
    <w:basedOn w:val="a"/>
    <w:next w:val="a0"/>
    <w:link w:val="80"/>
    <w:qFormat/>
    <w:rsid w:val="00FD7B24"/>
    <w:pPr>
      <w:keepNext/>
      <w:keepLines/>
      <w:numPr>
        <w:ilvl w:val="7"/>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7"/>
    </w:pPr>
    <w:rPr>
      <w:u w:val="single"/>
    </w:rPr>
  </w:style>
  <w:style w:type="paragraph" w:styleId="9">
    <w:name w:val="heading 9"/>
    <w:basedOn w:val="a"/>
    <w:next w:val="a0"/>
    <w:link w:val="90"/>
    <w:qFormat/>
    <w:rsid w:val="00FD7B24"/>
    <w:pPr>
      <w:keepNext/>
      <w:keepLines/>
      <w:numPr>
        <w:ilvl w:val="8"/>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7B24"/>
    <w:rPr>
      <w:rFonts w:ascii="Arial" w:hAnsi="Arial"/>
      <w:b/>
      <w:caps/>
      <w:kern w:val="1"/>
      <w:sz w:val="24"/>
      <w:u w:val="single"/>
      <w:lang w:val="sv-SE" w:eastAsia="ar-SA"/>
    </w:rPr>
  </w:style>
  <w:style w:type="paragraph" w:styleId="a0">
    <w:name w:val="Body Text"/>
    <w:basedOn w:val="a"/>
    <w:link w:val="a4"/>
    <w:uiPriority w:val="99"/>
    <w:semiHidden/>
    <w:unhideWhenUsed/>
    <w:rsid w:val="00FD7B24"/>
    <w:pPr>
      <w:spacing w:after="120"/>
    </w:pPr>
  </w:style>
  <w:style w:type="character" w:customStyle="1" w:styleId="a4">
    <w:name w:val="Основной текст Знак"/>
    <w:basedOn w:val="a1"/>
    <w:link w:val="a0"/>
    <w:uiPriority w:val="99"/>
    <w:semiHidden/>
    <w:rsid w:val="00FD7B24"/>
    <w:rPr>
      <w:rFonts w:ascii="Arial" w:hAnsi="Arial"/>
      <w:kern w:val="1"/>
      <w:sz w:val="24"/>
      <w:lang w:val="sv-SE" w:eastAsia="ar-SA"/>
    </w:rPr>
  </w:style>
  <w:style w:type="character" w:customStyle="1" w:styleId="20">
    <w:name w:val="Заголовок 2 Знак"/>
    <w:basedOn w:val="a1"/>
    <w:link w:val="2"/>
    <w:rsid w:val="00FD7B24"/>
    <w:rPr>
      <w:rFonts w:ascii="Arial" w:hAnsi="Arial"/>
      <w:b/>
      <w:caps/>
      <w:kern w:val="1"/>
      <w:sz w:val="24"/>
      <w:lang w:val="sv-SE" w:eastAsia="ar-SA"/>
    </w:rPr>
  </w:style>
  <w:style w:type="character" w:customStyle="1" w:styleId="30">
    <w:name w:val="Заголовок 3 Знак"/>
    <w:basedOn w:val="a1"/>
    <w:link w:val="3"/>
    <w:rsid w:val="00FD7B24"/>
    <w:rPr>
      <w:rFonts w:ascii="Arial" w:hAnsi="Arial"/>
      <w:b/>
      <w:kern w:val="1"/>
      <w:sz w:val="24"/>
      <w:lang w:val="sv-SE" w:eastAsia="ar-SA"/>
    </w:rPr>
  </w:style>
  <w:style w:type="character" w:customStyle="1" w:styleId="40">
    <w:name w:val="Заголовок 4 Знак"/>
    <w:basedOn w:val="a1"/>
    <w:link w:val="4"/>
    <w:rsid w:val="00FD7B24"/>
    <w:rPr>
      <w:rFonts w:ascii="Arial" w:hAnsi="Arial"/>
      <w:b/>
      <w:i/>
      <w:kern w:val="1"/>
      <w:sz w:val="24"/>
      <w:lang w:val="sv-SE" w:eastAsia="ar-SA"/>
    </w:rPr>
  </w:style>
  <w:style w:type="character" w:customStyle="1" w:styleId="50">
    <w:name w:val="Заголовок 5 Знак"/>
    <w:basedOn w:val="a1"/>
    <w:link w:val="5"/>
    <w:rsid w:val="00FD7B24"/>
    <w:rPr>
      <w:rFonts w:ascii="Arial" w:hAnsi="Arial"/>
      <w:b/>
      <w:i/>
      <w:kern w:val="1"/>
      <w:sz w:val="24"/>
      <w:lang w:val="sv-SE" w:eastAsia="ar-SA"/>
    </w:rPr>
  </w:style>
  <w:style w:type="character" w:customStyle="1" w:styleId="60">
    <w:name w:val="Заголовок 6 Знак"/>
    <w:basedOn w:val="a1"/>
    <w:link w:val="6"/>
    <w:rsid w:val="00FD7B24"/>
    <w:rPr>
      <w:rFonts w:ascii="Arial" w:hAnsi="Arial"/>
      <w:caps/>
      <w:kern w:val="1"/>
      <w:sz w:val="24"/>
      <w:u w:val="single"/>
      <w:lang w:val="sv-SE" w:eastAsia="ar-SA"/>
    </w:rPr>
  </w:style>
  <w:style w:type="character" w:customStyle="1" w:styleId="70">
    <w:name w:val="Заголовок 7 Знак"/>
    <w:basedOn w:val="a1"/>
    <w:link w:val="7"/>
    <w:rsid w:val="00FD7B24"/>
    <w:rPr>
      <w:rFonts w:ascii="Arial" w:hAnsi="Arial"/>
      <w:caps/>
      <w:kern w:val="1"/>
      <w:sz w:val="24"/>
      <w:lang w:val="sv-SE" w:eastAsia="ar-SA"/>
    </w:rPr>
  </w:style>
  <w:style w:type="character" w:customStyle="1" w:styleId="80">
    <w:name w:val="Заголовок 8 Знак"/>
    <w:basedOn w:val="a1"/>
    <w:link w:val="8"/>
    <w:rsid w:val="00FD7B24"/>
    <w:rPr>
      <w:rFonts w:ascii="Arial" w:hAnsi="Arial"/>
      <w:kern w:val="1"/>
      <w:sz w:val="24"/>
      <w:u w:val="single"/>
      <w:lang w:val="sv-SE" w:eastAsia="ar-SA"/>
    </w:rPr>
  </w:style>
  <w:style w:type="character" w:customStyle="1" w:styleId="90">
    <w:name w:val="Заголовок 9 Знак"/>
    <w:basedOn w:val="a1"/>
    <w:link w:val="9"/>
    <w:rsid w:val="00FD7B24"/>
    <w:rPr>
      <w:rFonts w:ascii="Arial" w:hAnsi="Arial"/>
      <w:i/>
      <w:kern w:val="1"/>
      <w:sz w:val="24"/>
      <w:lang w:val="sv-SE" w:eastAsia="ar-SA"/>
    </w:rPr>
  </w:style>
  <w:style w:type="paragraph" w:styleId="a5">
    <w:name w:val="List Paragraph"/>
    <w:basedOn w:val="a"/>
    <w:link w:val="a6"/>
    <w:uiPriority w:val="34"/>
    <w:qFormat/>
    <w:rsid w:val="00FD7B24"/>
    <w:pPr>
      <w:ind w:left="720"/>
    </w:pPr>
  </w:style>
  <w:style w:type="paragraph" w:styleId="a7">
    <w:name w:val="header"/>
    <w:basedOn w:val="a"/>
    <w:link w:val="a8"/>
    <w:rsid w:val="00971D2C"/>
    <w:pPr>
      <w:tabs>
        <w:tab w:val="center" w:pos="4677"/>
        <w:tab w:val="right" w:pos="9355"/>
      </w:tabs>
    </w:pPr>
  </w:style>
  <w:style w:type="character" w:customStyle="1" w:styleId="a8">
    <w:name w:val="Верхний колонтитул Знак"/>
    <w:basedOn w:val="a1"/>
    <w:link w:val="a7"/>
    <w:rsid w:val="00971D2C"/>
    <w:rPr>
      <w:sz w:val="24"/>
      <w:szCs w:val="24"/>
      <w:lang w:val="ru-RU" w:eastAsia="ru-RU"/>
    </w:rPr>
  </w:style>
  <w:style w:type="character" w:styleId="a9">
    <w:name w:val="page number"/>
    <w:basedOn w:val="a1"/>
    <w:rsid w:val="00971D2C"/>
  </w:style>
  <w:style w:type="paragraph" w:styleId="aa">
    <w:name w:val="footer"/>
    <w:basedOn w:val="a"/>
    <w:link w:val="ab"/>
    <w:rsid w:val="00971D2C"/>
    <w:pPr>
      <w:tabs>
        <w:tab w:val="center" w:pos="4819"/>
        <w:tab w:val="right" w:pos="9639"/>
      </w:tabs>
    </w:pPr>
  </w:style>
  <w:style w:type="character" w:customStyle="1" w:styleId="ab">
    <w:name w:val="Нижний колонтитул Знак"/>
    <w:basedOn w:val="a1"/>
    <w:link w:val="aa"/>
    <w:rsid w:val="00971D2C"/>
    <w:rPr>
      <w:sz w:val="24"/>
      <w:szCs w:val="24"/>
      <w:lang w:val="ru-RU" w:eastAsia="ru-RU"/>
    </w:rPr>
  </w:style>
  <w:style w:type="paragraph" w:customStyle="1" w:styleId="ac">
    <w:name w:val="Нормальний текст"/>
    <w:basedOn w:val="a"/>
    <w:link w:val="ad"/>
    <w:rsid w:val="00971D2C"/>
    <w:pPr>
      <w:spacing w:before="120"/>
      <w:ind w:firstLine="567"/>
    </w:pPr>
  </w:style>
  <w:style w:type="paragraph" w:styleId="ae">
    <w:name w:val="Body Text Indent"/>
    <w:basedOn w:val="a"/>
    <w:link w:val="af"/>
    <w:unhideWhenUsed/>
    <w:rsid w:val="00971D2C"/>
    <w:pPr>
      <w:ind w:right="425" w:firstLine="709"/>
      <w:jc w:val="both"/>
    </w:pPr>
    <w:rPr>
      <w:szCs w:val="20"/>
    </w:rPr>
  </w:style>
  <w:style w:type="character" w:customStyle="1" w:styleId="af">
    <w:name w:val="Основной текст с отступом Знак"/>
    <w:basedOn w:val="a1"/>
    <w:link w:val="ae"/>
    <w:rsid w:val="00971D2C"/>
    <w:rPr>
      <w:sz w:val="24"/>
      <w:lang w:val="ru-RU" w:eastAsia="ru-RU"/>
    </w:rPr>
  </w:style>
  <w:style w:type="paragraph" w:customStyle="1" w:styleId="af0">
    <w:name w:val="Назва документа"/>
    <w:basedOn w:val="a"/>
    <w:next w:val="a"/>
    <w:rsid w:val="00971D2C"/>
    <w:pPr>
      <w:keepNext/>
      <w:keepLines/>
      <w:spacing w:before="240" w:after="240"/>
      <w:jc w:val="center"/>
    </w:pPr>
    <w:rPr>
      <w:rFonts w:ascii="Antiqua" w:hAnsi="Antiqua"/>
      <w:b/>
      <w:sz w:val="26"/>
      <w:szCs w:val="20"/>
    </w:rPr>
  </w:style>
  <w:style w:type="paragraph" w:styleId="af1">
    <w:name w:val="Normal (Web)"/>
    <w:basedOn w:val="a"/>
    <w:uiPriority w:val="99"/>
    <w:rsid w:val="00971D2C"/>
    <w:pPr>
      <w:spacing w:before="100" w:beforeAutospacing="1" w:after="100" w:afterAutospacing="1"/>
    </w:pPr>
  </w:style>
  <w:style w:type="paragraph" w:customStyle="1" w:styleId="Blank">
    <w:name w:val="Blank"/>
    <w:basedOn w:val="a"/>
    <w:rsid w:val="00971D2C"/>
    <w:pPr>
      <w:tabs>
        <w:tab w:val="left" w:pos="5387"/>
        <w:tab w:val="right" w:pos="8930"/>
      </w:tabs>
      <w:spacing w:after="120"/>
      <w:ind w:firstLine="720"/>
    </w:pPr>
    <w:rPr>
      <w:sz w:val="26"/>
      <w:szCs w:val="20"/>
    </w:rPr>
  </w:style>
  <w:style w:type="paragraph" w:styleId="af2">
    <w:name w:val="Plain Text"/>
    <w:basedOn w:val="a"/>
    <w:link w:val="af3"/>
    <w:rsid w:val="001E21EE"/>
    <w:rPr>
      <w:rFonts w:ascii="Courier New" w:hAnsi="Courier New" w:cs="Courier New"/>
      <w:sz w:val="20"/>
      <w:szCs w:val="20"/>
      <w:lang w:val="ru-RU"/>
    </w:rPr>
  </w:style>
  <w:style w:type="character" w:customStyle="1" w:styleId="af3">
    <w:name w:val="Текст Знак"/>
    <w:basedOn w:val="a1"/>
    <w:link w:val="af2"/>
    <w:rsid w:val="001E21EE"/>
    <w:rPr>
      <w:rFonts w:ascii="Courier New" w:hAnsi="Courier New" w:cs="Courier New"/>
      <w:lang w:val="ru-RU" w:eastAsia="ru-RU"/>
    </w:rPr>
  </w:style>
  <w:style w:type="paragraph" w:styleId="af4">
    <w:name w:val="Title"/>
    <w:basedOn w:val="a"/>
    <w:link w:val="af5"/>
    <w:qFormat/>
    <w:rsid w:val="00B51E33"/>
    <w:pPr>
      <w:jc w:val="center"/>
    </w:pPr>
    <w:rPr>
      <w:b/>
      <w:caps/>
      <w:sz w:val="28"/>
      <w:szCs w:val="28"/>
    </w:rPr>
  </w:style>
  <w:style w:type="character" w:customStyle="1" w:styleId="af5">
    <w:name w:val="Заголовок Знак"/>
    <w:basedOn w:val="a1"/>
    <w:link w:val="af4"/>
    <w:rsid w:val="00B51E33"/>
    <w:rPr>
      <w:b/>
      <w:caps/>
      <w:sz w:val="28"/>
      <w:szCs w:val="28"/>
      <w:lang w:eastAsia="ru-RU"/>
    </w:rPr>
  </w:style>
  <w:style w:type="character" w:customStyle="1" w:styleId="ad">
    <w:name w:val="Нормальний текст Знак"/>
    <w:basedOn w:val="a1"/>
    <w:link w:val="ac"/>
    <w:uiPriority w:val="99"/>
    <w:locked/>
    <w:rsid w:val="00790A36"/>
    <w:rPr>
      <w:sz w:val="24"/>
      <w:szCs w:val="24"/>
      <w:lang w:eastAsia="ru-RU"/>
    </w:rPr>
  </w:style>
  <w:style w:type="paragraph" w:customStyle="1" w:styleId="xmsonormal">
    <w:name w:val="x_msonormal"/>
    <w:basedOn w:val="a"/>
    <w:rsid w:val="00C14700"/>
    <w:pPr>
      <w:spacing w:before="100" w:beforeAutospacing="1" w:after="100" w:afterAutospacing="1"/>
    </w:pPr>
    <w:rPr>
      <w:lang w:eastAsia="uk-UA"/>
    </w:rPr>
  </w:style>
  <w:style w:type="paragraph" w:customStyle="1" w:styleId="xa">
    <w:name w:val="x_a"/>
    <w:basedOn w:val="a"/>
    <w:rsid w:val="00C14700"/>
    <w:pPr>
      <w:spacing w:before="100" w:beforeAutospacing="1" w:after="100" w:afterAutospacing="1"/>
    </w:pPr>
    <w:rPr>
      <w:lang w:eastAsia="uk-UA"/>
    </w:rPr>
  </w:style>
  <w:style w:type="paragraph" w:styleId="af6">
    <w:name w:val="Balloon Text"/>
    <w:basedOn w:val="a"/>
    <w:link w:val="af7"/>
    <w:uiPriority w:val="99"/>
    <w:semiHidden/>
    <w:unhideWhenUsed/>
    <w:rsid w:val="00C47570"/>
    <w:rPr>
      <w:rFonts w:ascii="Segoe UI" w:hAnsi="Segoe UI" w:cs="Segoe UI"/>
      <w:sz w:val="18"/>
      <w:szCs w:val="18"/>
    </w:rPr>
  </w:style>
  <w:style w:type="character" w:customStyle="1" w:styleId="af7">
    <w:name w:val="Текст выноски Знак"/>
    <w:basedOn w:val="a1"/>
    <w:link w:val="af6"/>
    <w:uiPriority w:val="99"/>
    <w:semiHidden/>
    <w:rsid w:val="00C47570"/>
    <w:rPr>
      <w:rFonts w:ascii="Segoe UI" w:hAnsi="Segoe UI" w:cs="Segoe UI"/>
      <w:sz w:val="18"/>
      <w:szCs w:val="18"/>
      <w:lang w:eastAsia="ru-RU"/>
    </w:rPr>
  </w:style>
  <w:style w:type="paragraph" w:customStyle="1" w:styleId="rvps2">
    <w:name w:val="rvps2"/>
    <w:basedOn w:val="a"/>
    <w:rsid w:val="002837F8"/>
    <w:pPr>
      <w:spacing w:before="100" w:beforeAutospacing="1" w:after="100" w:afterAutospacing="1"/>
    </w:pPr>
    <w:rPr>
      <w:lang w:eastAsia="uk-UA"/>
    </w:rPr>
  </w:style>
  <w:style w:type="character" w:customStyle="1" w:styleId="rvts9">
    <w:name w:val="rvts9"/>
    <w:rsid w:val="002837F8"/>
  </w:style>
  <w:style w:type="character" w:customStyle="1" w:styleId="a6">
    <w:name w:val="Абзац списка Знак"/>
    <w:link w:val="a5"/>
    <w:uiPriority w:val="34"/>
    <w:rsid w:val="00C90B3E"/>
    <w:rPr>
      <w:sz w:val="24"/>
      <w:szCs w:val="24"/>
      <w:lang w:eastAsia="ru-RU"/>
    </w:rPr>
  </w:style>
  <w:style w:type="character" w:customStyle="1" w:styleId="rvts44">
    <w:name w:val="rvts44"/>
    <w:basedOn w:val="a1"/>
    <w:rsid w:val="006A6063"/>
  </w:style>
  <w:style w:type="table" w:styleId="af8">
    <w:name w:val="Table Grid"/>
    <w:basedOn w:val="a2"/>
    <w:uiPriority w:val="39"/>
    <w:rsid w:val="00F0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
    <w:name w:val="Char Style 6"/>
    <w:basedOn w:val="a1"/>
    <w:link w:val="Style5"/>
    <w:rsid w:val="00CA64BC"/>
    <w:rPr>
      <w:sz w:val="27"/>
      <w:szCs w:val="27"/>
      <w:shd w:val="clear" w:color="auto" w:fill="FFFFFF"/>
    </w:rPr>
  </w:style>
  <w:style w:type="paragraph" w:customStyle="1" w:styleId="Style5">
    <w:name w:val="Style 5"/>
    <w:basedOn w:val="a"/>
    <w:link w:val="CharStyle6"/>
    <w:rsid w:val="00CA64BC"/>
    <w:pPr>
      <w:widowControl w:val="0"/>
      <w:shd w:val="clear" w:color="auto" w:fill="FFFFFF"/>
      <w:spacing w:before="60" w:after="60" w:line="0" w:lineRule="atLeast"/>
    </w:pPr>
    <w:rPr>
      <w:sz w:val="27"/>
      <w:szCs w:val="27"/>
      <w:lang w:eastAsia="en-US"/>
    </w:rPr>
  </w:style>
  <w:style w:type="character" w:customStyle="1" w:styleId="CharStyle18">
    <w:name w:val="Char Style 18"/>
    <w:basedOn w:val="CharStyle6"/>
    <w:link w:val="Style2"/>
    <w:rsid w:val="00BB658F"/>
    <w:rPr>
      <w:b/>
      <w:bCs/>
      <w:color w:val="000000"/>
      <w:sz w:val="27"/>
      <w:szCs w:val="27"/>
      <w:shd w:val="clear" w:color="auto" w:fill="FFFFFF"/>
      <w:lang w:val="uk"/>
    </w:rPr>
  </w:style>
  <w:style w:type="paragraph" w:customStyle="1" w:styleId="Style2">
    <w:name w:val="Style 2"/>
    <w:basedOn w:val="a"/>
    <w:link w:val="CharStyle18"/>
    <w:rsid w:val="00BB658F"/>
    <w:pPr>
      <w:widowControl w:val="0"/>
      <w:shd w:val="clear" w:color="auto" w:fill="FFFFFF"/>
      <w:spacing w:before="240" w:after="900" w:line="317" w:lineRule="exact"/>
      <w:ind w:hanging="320"/>
      <w:jc w:val="center"/>
    </w:pPr>
    <w:rPr>
      <w:b/>
      <w:bCs/>
      <w:color w:val="000000"/>
      <w:sz w:val="27"/>
      <w:szCs w:val="27"/>
      <w:lang w:val="uk" w:eastAsia="en-US"/>
    </w:rPr>
  </w:style>
  <w:style w:type="paragraph" w:customStyle="1" w:styleId="Default">
    <w:name w:val="Default"/>
    <w:rsid w:val="007A2BDE"/>
    <w:pPr>
      <w:autoSpaceDE w:val="0"/>
      <w:autoSpaceDN w:val="0"/>
      <w:adjustRightInd w:val="0"/>
    </w:pPr>
    <w:rPr>
      <w:rFonts w:eastAsiaTheme="minorHAnsi"/>
      <w:color w:val="000000"/>
      <w:sz w:val="24"/>
      <w:szCs w:val="24"/>
    </w:rPr>
  </w:style>
  <w:style w:type="character" w:styleId="af9">
    <w:name w:val="Hyperlink"/>
    <w:basedOn w:val="a1"/>
    <w:uiPriority w:val="99"/>
    <w:semiHidden/>
    <w:unhideWhenUsed/>
    <w:rsid w:val="00E33D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029">
      <w:bodyDiv w:val="1"/>
      <w:marLeft w:val="0"/>
      <w:marRight w:val="0"/>
      <w:marTop w:val="0"/>
      <w:marBottom w:val="0"/>
      <w:divBdr>
        <w:top w:val="none" w:sz="0" w:space="0" w:color="auto"/>
        <w:left w:val="none" w:sz="0" w:space="0" w:color="auto"/>
        <w:bottom w:val="none" w:sz="0" w:space="0" w:color="auto"/>
        <w:right w:val="none" w:sz="0" w:space="0" w:color="auto"/>
      </w:divBdr>
    </w:div>
    <w:div w:id="156503391">
      <w:bodyDiv w:val="1"/>
      <w:marLeft w:val="0"/>
      <w:marRight w:val="0"/>
      <w:marTop w:val="0"/>
      <w:marBottom w:val="0"/>
      <w:divBdr>
        <w:top w:val="none" w:sz="0" w:space="0" w:color="auto"/>
        <w:left w:val="none" w:sz="0" w:space="0" w:color="auto"/>
        <w:bottom w:val="none" w:sz="0" w:space="0" w:color="auto"/>
        <w:right w:val="none" w:sz="0" w:space="0" w:color="auto"/>
      </w:divBdr>
    </w:div>
    <w:div w:id="184830753">
      <w:bodyDiv w:val="1"/>
      <w:marLeft w:val="0"/>
      <w:marRight w:val="0"/>
      <w:marTop w:val="0"/>
      <w:marBottom w:val="0"/>
      <w:divBdr>
        <w:top w:val="none" w:sz="0" w:space="0" w:color="auto"/>
        <w:left w:val="none" w:sz="0" w:space="0" w:color="auto"/>
        <w:bottom w:val="none" w:sz="0" w:space="0" w:color="auto"/>
        <w:right w:val="none" w:sz="0" w:space="0" w:color="auto"/>
      </w:divBdr>
    </w:div>
    <w:div w:id="189729080">
      <w:bodyDiv w:val="1"/>
      <w:marLeft w:val="0"/>
      <w:marRight w:val="0"/>
      <w:marTop w:val="0"/>
      <w:marBottom w:val="0"/>
      <w:divBdr>
        <w:top w:val="none" w:sz="0" w:space="0" w:color="auto"/>
        <w:left w:val="none" w:sz="0" w:space="0" w:color="auto"/>
        <w:bottom w:val="none" w:sz="0" w:space="0" w:color="auto"/>
        <w:right w:val="none" w:sz="0" w:space="0" w:color="auto"/>
      </w:divBdr>
    </w:div>
    <w:div w:id="194320278">
      <w:bodyDiv w:val="1"/>
      <w:marLeft w:val="0"/>
      <w:marRight w:val="0"/>
      <w:marTop w:val="0"/>
      <w:marBottom w:val="0"/>
      <w:divBdr>
        <w:top w:val="none" w:sz="0" w:space="0" w:color="auto"/>
        <w:left w:val="none" w:sz="0" w:space="0" w:color="auto"/>
        <w:bottom w:val="none" w:sz="0" w:space="0" w:color="auto"/>
        <w:right w:val="none" w:sz="0" w:space="0" w:color="auto"/>
      </w:divBdr>
    </w:div>
    <w:div w:id="205409526">
      <w:bodyDiv w:val="1"/>
      <w:marLeft w:val="0"/>
      <w:marRight w:val="0"/>
      <w:marTop w:val="0"/>
      <w:marBottom w:val="0"/>
      <w:divBdr>
        <w:top w:val="none" w:sz="0" w:space="0" w:color="auto"/>
        <w:left w:val="none" w:sz="0" w:space="0" w:color="auto"/>
        <w:bottom w:val="none" w:sz="0" w:space="0" w:color="auto"/>
        <w:right w:val="none" w:sz="0" w:space="0" w:color="auto"/>
      </w:divBdr>
    </w:div>
    <w:div w:id="249196908">
      <w:bodyDiv w:val="1"/>
      <w:marLeft w:val="0"/>
      <w:marRight w:val="0"/>
      <w:marTop w:val="0"/>
      <w:marBottom w:val="0"/>
      <w:divBdr>
        <w:top w:val="none" w:sz="0" w:space="0" w:color="auto"/>
        <w:left w:val="none" w:sz="0" w:space="0" w:color="auto"/>
        <w:bottom w:val="none" w:sz="0" w:space="0" w:color="auto"/>
        <w:right w:val="none" w:sz="0" w:space="0" w:color="auto"/>
      </w:divBdr>
    </w:div>
    <w:div w:id="250355965">
      <w:bodyDiv w:val="1"/>
      <w:marLeft w:val="0"/>
      <w:marRight w:val="0"/>
      <w:marTop w:val="0"/>
      <w:marBottom w:val="0"/>
      <w:divBdr>
        <w:top w:val="none" w:sz="0" w:space="0" w:color="auto"/>
        <w:left w:val="none" w:sz="0" w:space="0" w:color="auto"/>
        <w:bottom w:val="none" w:sz="0" w:space="0" w:color="auto"/>
        <w:right w:val="none" w:sz="0" w:space="0" w:color="auto"/>
      </w:divBdr>
    </w:div>
    <w:div w:id="270283004">
      <w:bodyDiv w:val="1"/>
      <w:marLeft w:val="0"/>
      <w:marRight w:val="0"/>
      <w:marTop w:val="0"/>
      <w:marBottom w:val="0"/>
      <w:divBdr>
        <w:top w:val="none" w:sz="0" w:space="0" w:color="auto"/>
        <w:left w:val="none" w:sz="0" w:space="0" w:color="auto"/>
        <w:bottom w:val="none" w:sz="0" w:space="0" w:color="auto"/>
        <w:right w:val="none" w:sz="0" w:space="0" w:color="auto"/>
      </w:divBdr>
    </w:div>
    <w:div w:id="288978310">
      <w:bodyDiv w:val="1"/>
      <w:marLeft w:val="0"/>
      <w:marRight w:val="0"/>
      <w:marTop w:val="0"/>
      <w:marBottom w:val="0"/>
      <w:divBdr>
        <w:top w:val="none" w:sz="0" w:space="0" w:color="auto"/>
        <w:left w:val="none" w:sz="0" w:space="0" w:color="auto"/>
        <w:bottom w:val="none" w:sz="0" w:space="0" w:color="auto"/>
        <w:right w:val="none" w:sz="0" w:space="0" w:color="auto"/>
      </w:divBdr>
    </w:div>
    <w:div w:id="306667867">
      <w:bodyDiv w:val="1"/>
      <w:marLeft w:val="0"/>
      <w:marRight w:val="0"/>
      <w:marTop w:val="0"/>
      <w:marBottom w:val="0"/>
      <w:divBdr>
        <w:top w:val="none" w:sz="0" w:space="0" w:color="auto"/>
        <w:left w:val="none" w:sz="0" w:space="0" w:color="auto"/>
        <w:bottom w:val="none" w:sz="0" w:space="0" w:color="auto"/>
        <w:right w:val="none" w:sz="0" w:space="0" w:color="auto"/>
      </w:divBdr>
    </w:div>
    <w:div w:id="311445707">
      <w:bodyDiv w:val="1"/>
      <w:marLeft w:val="0"/>
      <w:marRight w:val="0"/>
      <w:marTop w:val="0"/>
      <w:marBottom w:val="0"/>
      <w:divBdr>
        <w:top w:val="none" w:sz="0" w:space="0" w:color="auto"/>
        <w:left w:val="none" w:sz="0" w:space="0" w:color="auto"/>
        <w:bottom w:val="none" w:sz="0" w:space="0" w:color="auto"/>
        <w:right w:val="none" w:sz="0" w:space="0" w:color="auto"/>
      </w:divBdr>
    </w:div>
    <w:div w:id="312371815">
      <w:bodyDiv w:val="1"/>
      <w:marLeft w:val="0"/>
      <w:marRight w:val="0"/>
      <w:marTop w:val="0"/>
      <w:marBottom w:val="0"/>
      <w:divBdr>
        <w:top w:val="none" w:sz="0" w:space="0" w:color="auto"/>
        <w:left w:val="none" w:sz="0" w:space="0" w:color="auto"/>
        <w:bottom w:val="none" w:sz="0" w:space="0" w:color="auto"/>
        <w:right w:val="none" w:sz="0" w:space="0" w:color="auto"/>
      </w:divBdr>
    </w:div>
    <w:div w:id="322634632">
      <w:bodyDiv w:val="1"/>
      <w:marLeft w:val="0"/>
      <w:marRight w:val="0"/>
      <w:marTop w:val="0"/>
      <w:marBottom w:val="0"/>
      <w:divBdr>
        <w:top w:val="none" w:sz="0" w:space="0" w:color="auto"/>
        <w:left w:val="none" w:sz="0" w:space="0" w:color="auto"/>
        <w:bottom w:val="none" w:sz="0" w:space="0" w:color="auto"/>
        <w:right w:val="none" w:sz="0" w:space="0" w:color="auto"/>
      </w:divBdr>
    </w:div>
    <w:div w:id="326905364">
      <w:bodyDiv w:val="1"/>
      <w:marLeft w:val="0"/>
      <w:marRight w:val="0"/>
      <w:marTop w:val="0"/>
      <w:marBottom w:val="0"/>
      <w:divBdr>
        <w:top w:val="none" w:sz="0" w:space="0" w:color="auto"/>
        <w:left w:val="none" w:sz="0" w:space="0" w:color="auto"/>
        <w:bottom w:val="none" w:sz="0" w:space="0" w:color="auto"/>
        <w:right w:val="none" w:sz="0" w:space="0" w:color="auto"/>
      </w:divBdr>
    </w:div>
    <w:div w:id="340549070">
      <w:bodyDiv w:val="1"/>
      <w:marLeft w:val="0"/>
      <w:marRight w:val="0"/>
      <w:marTop w:val="0"/>
      <w:marBottom w:val="0"/>
      <w:divBdr>
        <w:top w:val="none" w:sz="0" w:space="0" w:color="auto"/>
        <w:left w:val="none" w:sz="0" w:space="0" w:color="auto"/>
        <w:bottom w:val="none" w:sz="0" w:space="0" w:color="auto"/>
        <w:right w:val="none" w:sz="0" w:space="0" w:color="auto"/>
      </w:divBdr>
    </w:div>
    <w:div w:id="378283834">
      <w:bodyDiv w:val="1"/>
      <w:marLeft w:val="0"/>
      <w:marRight w:val="0"/>
      <w:marTop w:val="0"/>
      <w:marBottom w:val="0"/>
      <w:divBdr>
        <w:top w:val="none" w:sz="0" w:space="0" w:color="auto"/>
        <w:left w:val="none" w:sz="0" w:space="0" w:color="auto"/>
        <w:bottom w:val="none" w:sz="0" w:space="0" w:color="auto"/>
        <w:right w:val="none" w:sz="0" w:space="0" w:color="auto"/>
      </w:divBdr>
    </w:div>
    <w:div w:id="397441621">
      <w:bodyDiv w:val="1"/>
      <w:marLeft w:val="0"/>
      <w:marRight w:val="0"/>
      <w:marTop w:val="0"/>
      <w:marBottom w:val="0"/>
      <w:divBdr>
        <w:top w:val="none" w:sz="0" w:space="0" w:color="auto"/>
        <w:left w:val="none" w:sz="0" w:space="0" w:color="auto"/>
        <w:bottom w:val="none" w:sz="0" w:space="0" w:color="auto"/>
        <w:right w:val="none" w:sz="0" w:space="0" w:color="auto"/>
      </w:divBdr>
    </w:div>
    <w:div w:id="435179802">
      <w:bodyDiv w:val="1"/>
      <w:marLeft w:val="0"/>
      <w:marRight w:val="0"/>
      <w:marTop w:val="0"/>
      <w:marBottom w:val="0"/>
      <w:divBdr>
        <w:top w:val="none" w:sz="0" w:space="0" w:color="auto"/>
        <w:left w:val="none" w:sz="0" w:space="0" w:color="auto"/>
        <w:bottom w:val="none" w:sz="0" w:space="0" w:color="auto"/>
        <w:right w:val="none" w:sz="0" w:space="0" w:color="auto"/>
      </w:divBdr>
    </w:div>
    <w:div w:id="455222334">
      <w:bodyDiv w:val="1"/>
      <w:marLeft w:val="0"/>
      <w:marRight w:val="0"/>
      <w:marTop w:val="0"/>
      <w:marBottom w:val="0"/>
      <w:divBdr>
        <w:top w:val="none" w:sz="0" w:space="0" w:color="auto"/>
        <w:left w:val="none" w:sz="0" w:space="0" w:color="auto"/>
        <w:bottom w:val="none" w:sz="0" w:space="0" w:color="auto"/>
        <w:right w:val="none" w:sz="0" w:space="0" w:color="auto"/>
      </w:divBdr>
    </w:div>
    <w:div w:id="504705255">
      <w:bodyDiv w:val="1"/>
      <w:marLeft w:val="0"/>
      <w:marRight w:val="0"/>
      <w:marTop w:val="0"/>
      <w:marBottom w:val="0"/>
      <w:divBdr>
        <w:top w:val="none" w:sz="0" w:space="0" w:color="auto"/>
        <w:left w:val="none" w:sz="0" w:space="0" w:color="auto"/>
        <w:bottom w:val="none" w:sz="0" w:space="0" w:color="auto"/>
        <w:right w:val="none" w:sz="0" w:space="0" w:color="auto"/>
      </w:divBdr>
    </w:div>
    <w:div w:id="554003906">
      <w:bodyDiv w:val="1"/>
      <w:marLeft w:val="0"/>
      <w:marRight w:val="0"/>
      <w:marTop w:val="0"/>
      <w:marBottom w:val="0"/>
      <w:divBdr>
        <w:top w:val="none" w:sz="0" w:space="0" w:color="auto"/>
        <w:left w:val="none" w:sz="0" w:space="0" w:color="auto"/>
        <w:bottom w:val="none" w:sz="0" w:space="0" w:color="auto"/>
        <w:right w:val="none" w:sz="0" w:space="0" w:color="auto"/>
      </w:divBdr>
    </w:div>
    <w:div w:id="560406211">
      <w:bodyDiv w:val="1"/>
      <w:marLeft w:val="0"/>
      <w:marRight w:val="0"/>
      <w:marTop w:val="0"/>
      <w:marBottom w:val="0"/>
      <w:divBdr>
        <w:top w:val="none" w:sz="0" w:space="0" w:color="auto"/>
        <w:left w:val="none" w:sz="0" w:space="0" w:color="auto"/>
        <w:bottom w:val="none" w:sz="0" w:space="0" w:color="auto"/>
        <w:right w:val="none" w:sz="0" w:space="0" w:color="auto"/>
      </w:divBdr>
    </w:div>
    <w:div w:id="627131571">
      <w:bodyDiv w:val="1"/>
      <w:marLeft w:val="0"/>
      <w:marRight w:val="0"/>
      <w:marTop w:val="0"/>
      <w:marBottom w:val="0"/>
      <w:divBdr>
        <w:top w:val="none" w:sz="0" w:space="0" w:color="auto"/>
        <w:left w:val="none" w:sz="0" w:space="0" w:color="auto"/>
        <w:bottom w:val="none" w:sz="0" w:space="0" w:color="auto"/>
        <w:right w:val="none" w:sz="0" w:space="0" w:color="auto"/>
      </w:divBdr>
    </w:div>
    <w:div w:id="688410317">
      <w:bodyDiv w:val="1"/>
      <w:marLeft w:val="0"/>
      <w:marRight w:val="0"/>
      <w:marTop w:val="0"/>
      <w:marBottom w:val="0"/>
      <w:divBdr>
        <w:top w:val="none" w:sz="0" w:space="0" w:color="auto"/>
        <w:left w:val="none" w:sz="0" w:space="0" w:color="auto"/>
        <w:bottom w:val="none" w:sz="0" w:space="0" w:color="auto"/>
        <w:right w:val="none" w:sz="0" w:space="0" w:color="auto"/>
      </w:divBdr>
    </w:div>
    <w:div w:id="711658967">
      <w:bodyDiv w:val="1"/>
      <w:marLeft w:val="0"/>
      <w:marRight w:val="0"/>
      <w:marTop w:val="0"/>
      <w:marBottom w:val="0"/>
      <w:divBdr>
        <w:top w:val="none" w:sz="0" w:space="0" w:color="auto"/>
        <w:left w:val="none" w:sz="0" w:space="0" w:color="auto"/>
        <w:bottom w:val="none" w:sz="0" w:space="0" w:color="auto"/>
        <w:right w:val="none" w:sz="0" w:space="0" w:color="auto"/>
      </w:divBdr>
    </w:div>
    <w:div w:id="715080259">
      <w:bodyDiv w:val="1"/>
      <w:marLeft w:val="0"/>
      <w:marRight w:val="0"/>
      <w:marTop w:val="0"/>
      <w:marBottom w:val="0"/>
      <w:divBdr>
        <w:top w:val="none" w:sz="0" w:space="0" w:color="auto"/>
        <w:left w:val="none" w:sz="0" w:space="0" w:color="auto"/>
        <w:bottom w:val="none" w:sz="0" w:space="0" w:color="auto"/>
        <w:right w:val="none" w:sz="0" w:space="0" w:color="auto"/>
      </w:divBdr>
    </w:div>
    <w:div w:id="735933232">
      <w:bodyDiv w:val="1"/>
      <w:marLeft w:val="0"/>
      <w:marRight w:val="0"/>
      <w:marTop w:val="0"/>
      <w:marBottom w:val="0"/>
      <w:divBdr>
        <w:top w:val="none" w:sz="0" w:space="0" w:color="auto"/>
        <w:left w:val="none" w:sz="0" w:space="0" w:color="auto"/>
        <w:bottom w:val="none" w:sz="0" w:space="0" w:color="auto"/>
        <w:right w:val="none" w:sz="0" w:space="0" w:color="auto"/>
      </w:divBdr>
    </w:div>
    <w:div w:id="737365148">
      <w:bodyDiv w:val="1"/>
      <w:marLeft w:val="0"/>
      <w:marRight w:val="0"/>
      <w:marTop w:val="0"/>
      <w:marBottom w:val="0"/>
      <w:divBdr>
        <w:top w:val="none" w:sz="0" w:space="0" w:color="auto"/>
        <w:left w:val="none" w:sz="0" w:space="0" w:color="auto"/>
        <w:bottom w:val="none" w:sz="0" w:space="0" w:color="auto"/>
        <w:right w:val="none" w:sz="0" w:space="0" w:color="auto"/>
      </w:divBdr>
    </w:div>
    <w:div w:id="756558470">
      <w:bodyDiv w:val="1"/>
      <w:marLeft w:val="0"/>
      <w:marRight w:val="0"/>
      <w:marTop w:val="0"/>
      <w:marBottom w:val="0"/>
      <w:divBdr>
        <w:top w:val="none" w:sz="0" w:space="0" w:color="auto"/>
        <w:left w:val="none" w:sz="0" w:space="0" w:color="auto"/>
        <w:bottom w:val="none" w:sz="0" w:space="0" w:color="auto"/>
        <w:right w:val="none" w:sz="0" w:space="0" w:color="auto"/>
      </w:divBdr>
    </w:div>
    <w:div w:id="771782852">
      <w:bodyDiv w:val="1"/>
      <w:marLeft w:val="0"/>
      <w:marRight w:val="0"/>
      <w:marTop w:val="0"/>
      <w:marBottom w:val="0"/>
      <w:divBdr>
        <w:top w:val="none" w:sz="0" w:space="0" w:color="auto"/>
        <w:left w:val="none" w:sz="0" w:space="0" w:color="auto"/>
        <w:bottom w:val="none" w:sz="0" w:space="0" w:color="auto"/>
        <w:right w:val="none" w:sz="0" w:space="0" w:color="auto"/>
      </w:divBdr>
    </w:div>
    <w:div w:id="777334118">
      <w:bodyDiv w:val="1"/>
      <w:marLeft w:val="0"/>
      <w:marRight w:val="0"/>
      <w:marTop w:val="0"/>
      <w:marBottom w:val="0"/>
      <w:divBdr>
        <w:top w:val="none" w:sz="0" w:space="0" w:color="auto"/>
        <w:left w:val="none" w:sz="0" w:space="0" w:color="auto"/>
        <w:bottom w:val="none" w:sz="0" w:space="0" w:color="auto"/>
        <w:right w:val="none" w:sz="0" w:space="0" w:color="auto"/>
      </w:divBdr>
    </w:div>
    <w:div w:id="811142015">
      <w:bodyDiv w:val="1"/>
      <w:marLeft w:val="0"/>
      <w:marRight w:val="0"/>
      <w:marTop w:val="0"/>
      <w:marBottom w:val="0"/>
      <w:divBdr>
        <w:top w:val="none" w:sz="0" w:space="0" w:color="auto"/>
        <w:left w:val="none" w:sz="0" w:space="0" w:color="auto"/>
        <w:bottom w:val="none" w:sz="0" w:space="0" w:color="auto"/>
        <w:right w:val="none" w:sz="0" w:space="0" w:color="auto"/>
      </w:divBdr>
    </w:div>
    <w:div w:id="812714599">
      <w:bodyDiv w:val="1"/>
      <w:marLeft w:val="0"/>
      <w:marRight w:val="0"/>
      <w:marTop w:val="0"/>
      <w:marBottom w:val="0"/>
      <w:divBdr>
        <w:top w:val="none" w:sz="0" w:space="0" w:color="auto"/>
        <w:left w:val="none" w:sz="0" w:space="0" w:color="auto"/>
        <w:bottom w:val="none" w:sz="0" w:space="0" w:color="auto"/>
        <w:right w:val="none" w:sz="0" w:space="0" w:color="auto"/>
      </w:divBdr>
    </w:div>
    <w:div w:id="858927223">
      <w:bodyDiv w:val="1"/>
      <w:marLeft w:val="0"/>
      <w:marRight w:val="0"/>
      <w:marTop w:val="0"/>
      <w:marBottom w:val="0"/>
      <w:divBdr>
        <w:top w:val="none" w:sz="0" w:space="0" w:color="auto"/>
        <w:left w:val="none" w:sz="0" w:space="0" w:color="auto"/>
        <w:bottom w:val="none" w:sz="0" w:space="0" w:color="auto"/>
        <w:right w:val="none" w:sz="0" w:space="0" w:color="auto"/>
      </w:divBdr>
    </w:div>
    <w:div w:id="863248496">
      <w:bodyDiv w:val="1"/>
      <w:marLeft w:val="0"/>
      <w:marRight w:val="0"/>
      <w:marTop w:val="0"/>
      <w:marBottom w:val="0"/>
      <w:divBdr>
        <w:top w:val="none" w:sz="0" w:space="0" w:color="auto"/>
        <w:left w:val="none" w:sz="0" w:space="0" w:color="auto"/>
        <w:bottom w:val="none" w:sz="0" w:space="0" w:color="auto"/>
        <w:right w:val="none" w:sz="0" w:space="0" w:color="auto"/>
      </w:divBdr>
    </w:div>
    <w:div w:id="863441842">
      <w:bodyDiv w:val="1"/>
      <w:marLeft w:val="0"/>
      <w:marRight w:val="0"/>
      <w:marTop w:val="0"/>
      <w:marBottom w:val="0"/>
      <w:divBdr>
        <w:top w:val="none" w:sz="0" w:space="0" w:color="auto"/>
        <w:left w:val="none" w:sz="0" w:space="0" w:color="auto"/>
        <w:bottom w:val="none" w:sz="0" w:space="0" w:color="auto"/>
        <w:right w:val="none" w:sz="0" w:space="0" w:color="auto"/>
      </w:divBdr>
    </w:div>
    <w:div w:id="891960853">
      <w:bodyDiv w:val="1"/>
      <w:marLeft w:val="0"/>
      <w:marRight w:val="0"/>
      <w:marTop w:val="0"/>
      <w:marBottom w:val="0"/>
      <w:divBdr>
        <w:top w:val="none" w:sz="0" w:space="0" w:color="auto"/>
        <w:left w:val="none" w:sz="0" w:space="0" w:color="auto"/>
        <w:bottom w:val="none" w:sz="0" w:space="0" w:color="auto"/>
        <w:right w:val="none" w:sz="0" w:space="0" w:color="auto"/>
      </w:divBdr>
    </w:div>
    <w:div w:id="916862092">
      <w:bodyDiv w:val="1"/>
      <w:marLeft w:val="0"/>
      <w:marRight w:val="0"/>
      <w:marTop w:val="0"/>
      <w:marBottom w:val="0"/>
      <w:divBdr>
        <w:top w:val="none" w:sz="0" w:space="0" w:color="auto"/>
        <w:left w:val="none" w:sz="0" w:space="0" w:color="auto"/>
        <w:bottom w:val="none" w:sz="0" w:space="0" w:color="auto"/>
        <w:right w:val="none" w:sz="0" w:space="0" w:color="auto"/>
      </w:divBdr>
    </w:div>
    <w:div w:id="964310891">
      <w:bodyDiv w:val="1"/>
      <w:marLeft w:val="0"/>
      <w:marRight w:val="0"/>
      <w:marTop w:val="0"/>
      <w:marBottom w:val="0"/>
      <w:divBdr>
        <w:top w:val="none" w:sz="0" w:space="0" w:color="auto"/>
        <w:left w:val="none" w:sz="0" w:space="0" w:color="auto"/>
        <w:bottom w:val="none" w:sz="0" w:space="0" w:color="auto"/>
        <w:right w:val="none" w:sz="0" w:space="0" w:color="auto"/>
      </w:divBdr>
    </w:div>
    <w:div w:id="1077365565">
      <w:bodyDiv w:val="1"/>
      <w:marLeft w:val="0"/>
      <w:marRight w:val="0"/>
      <w:marTop w:val="0"/>
      <w:marBottom w:val="0"/>
      <w:divBdr>
        <w:top w:val="none" w:sz="0" w:space="0" w:color="auto"/>
        <w:left w:val="none" w:sz="0" w:space="0" w:color="auto"/>
        <w:bottom w:val="none" w:sz="0" w:space="0" w:color="auto"/>
        <w:right w:val="none" w:sz="0" w:space="0" w:color="auto"/>
      </w:divBdr>
    </w:div>
    <w:div w:id="1078987703">
      <w:bodyDiv w:val="1"/>
      <w:marLeft w:val="0"/>
      <w:marRight w:val="0"/>
      <w:marTop w:val="0"/>
      <w:marBottom w:val="0"/>
      <w:divBdr>
        <w:top w:val="none" w:sz="0" w:space="0" w:color="auto"/>
        <w:left w:val="none" w:sz="0" w:space="0" w:color="auto"/>
        <w:bottom w:val="none" w:sz="0" w:space="0" w:color="auto"/>
        <w:right w:val="none" w:sz="0" w:space="0" w:color="auto"/>
      </w:divBdr>
    </w:div>
    <w:div w:id="1088044174">
      <w:bodyDiv w:val="1"/>
      <w:marLeft w:val="0"/>
      <w:marRight w:val="0"/>
      <w:marTop w:val="0"/>
      <w:marBottom w:val="0"/>
      <w:divBdr>
        <w:top w:val="none" w:sz="0" w:space="0" w:color="auto"/>
        <w:left w:val="none" w:sz="0" w:space="0" w:color="auto"/>
        <w:bottom w:val="none" w:sz="0" w:space="0" w:color="auto"/>
        <w:right w:val="none" w:sz="0" w:space="0" w:color="auto"/>
      </w:divBdr>
    </w:div>
    <w:div w:id="1092120745">
      <w:bodyDiv w:val="1"/>
      <w:marLeft w:val="0"/>
      <w:marRight w:val="0"/>
      <w:marTop w:val="0"/>
      <w:marBottom w:val="0"/>
      <w:divBdr>
        <w:top w:val="none" w:sz="0" w:space="0" w:color="auto"/>
        <w:left w:val="none" w:sz="0" w:space="0" w:color="auto"/>
        <w:bottom w:val="none" w:sz="0" w:space="0" w:color="auto"/>
        <w:right w:val="none" w:sz="0" w:space="0" w:color="auto"/>
      </w:divBdr>
    </w:div>
    <w:div w:id="1098870987">
      <w:bodyDiv w:val="1"/>
      <w:marLeft w:val="0"/>
      <w:marRight w:val="0"/>
      <w:marTop w:val="0"/>
      <w:marBottom w:val="0"/>
      <w:divBdr>
        <w:top w:val="none" w:sz="0" w:space="0" w:color="auto"/>
        <w:left w:val="none" w:sz="0" w:space="0" w:color="auto"/>
        <w:bottom w:val="none" w:sz="0" w:space="0" w:color="auto"/>
        <w:right w:val="none" w:sz="0" w:space="0" w:color="auto"/>
      </w:divBdr>
    </w:div>
    <w:div w:id="1154688126">
      <w:bodyDiv w:val="1"/>
      <w:marLeft w:val="0"/>
      <w:marRight w:val="0"/>
      <w:marTop w:val="0"/>
      <w:marBottom w:val="0"/>
      <w:divBdr>
        <w:top w:val="none" w:sz="0" w:space="0" w:color="auto"/>
        <w:left w:val="none" w:sz="0" w:space="0" w:color="auto"/>
        <w:bottom w:val="none" w:sz="0" w:space="0" w:color="auto"/>
        <w:right w:val="none" w:sz="0" w:space="0" w:color="auto"/>
      </w:divBdr>
    </w:div>
    <w:div w:id="1175919396">
      <w:bodyDiv w:val="1"/>
      <w:marLeft w:val="0"/>
      <w:marRight w:val="0"/>
      <w:marTop w:val="0"/>
      <w:marBottom w:val="0"/>
      <w:divBdr>
        <w:top w:val="none" w:sz="0" w:space="0" w:color="auto"/>
        <w:left w:val="none" w:sz="0" w:space="0" w:color="auto"/>
        <w:bottom w:val="none" w:sz="0" w:space="0" w:color="auto"/>
        <w:right w:val="none" w:sz="0" w:space="0" w:color="auto"/>
      </w:divBdr>
    </w:div>
    <w:div w:id="1197767602">
      <w:bodyDiv w:val="1"/>
      <w:marLeft w:val="0"/>
      <w:marRight w:val="0"/>
      <w:marTop w:val="0"/>
      <w:marBottom w:val="0"/>
      <w:divBdr>
        <w:top w:val="none" w:sz="0" w:space="0" w:color="auto"/>
        <w:left w:val="none" w:sz="0" w:space="0" w:color="auto"/>
        <w:bottom w:val="none" w:sz="0" w:space="0" w:color="auto"/>
        <w:right w:val="none" w:sz="0" w:space="0" w:color="auto"/>
      </w:divBdr>
    </w:div>
    <w:div w:id="1236621090">
      <w:bodyDiv w:val="1"/>
      <w:marLeft w:val="0"/>
      <w:marRight w:val="0"/>
      <w:marTop w:val="0"/>
      <w:marBottom w:val="0"/>
      <w:divBdr>
        <w:top w:val="none" w:sz="0" w:space="0" w:color="auto"/>
        <w:left w:val="none" w:sz="0" w:space="0" w:color="auto"/>
        <w:bottom w:val="none" w:sz="0" w:space="0" w:color="auto"/>
        <w:right w:val="none" w:sz="0" w:space="0" w:color="auto"/>
      </w:divBdr>
    </w:div>
    <w:div w:id="1238176497">
      <w:bodyDiv w:val="1"/>
      <w:marLeft w:val="0"/>
      <w:marRight w:val="0"/>
      <w:marTop w:val="0"/>
      <w:marBottom w:val="0"/>
      <w:divBdr>
        <w:top w:val="none" w:sz="0" w:space="0" w:color="auto"/>
        <w:left w:val="none" w:sz="0" w:space="0" w:color="auto"/>
        <w:bottom w:val="none" w:sz="0" w:space="0" w:color="auto"/>
        <w:right w:val="none" w:sz="0" w:space="0" w:color="auto"/>
      </w:divBdr>
    </w:div>
    <w:div w:id="1242134872">
      <w:bodyDiv w:val="1"/>
      <w:marLeft w:val="0"/>
      <w:marRight w:val="0"/>
      <w:marTop w:val="0"/>
      <w:marBottom w:val="0"/>
      <w:divBdr>
        <w:top w:val="none" w:sz="0" w:space="0" w:color="auto"/>
        <w:left w:val="none" w:sz="0" w:space="0" w:color="auto"/>
        <w:bottom w:val="none" w:sz="0" w:space="0" w:color="auto"/>
        <w:right w:val="none" w:sz="0" w:space="0" w:color="auto"/>
      </w:divBdr>
    </w:div>
    <w:div w:id="1250582595">
      <w:bodyDiv w:val="1"/>
      <w:marLeft w:val="0"/>
      <w:marRight w:val="0"/>
      <w:marTop w:val="0"/>
      <w:marBottom w:val="0"/>
      <w:divBdr>
        <w:top w:val="none" w:sz="0" w:space="0" w:color="auto"/>
        <w:left w:val="none" w:sz="0" w:space="0" w:color="auto"/>
        <w:bottom w:val="none" w:sz="0" w:space="0" w:color="auto"/>
        <w:right w:val="none" w:sz="0" w:space="0" w:color="auto"/>
      </w:divBdr>
    </w:div>
    <w:div w:id="1254238422">
      <w:bodyDiv w:val="1"/>
      <w:marLeft w:val="0"/>
      <w:marRight w:val="0"/>
      <w:marTop w:val="0"/>
      <w:marBottom w:val="0"/>
      <w:divBdr>
        <w:top w:val="none" w:sz="0" w:space="0" w:color="auto"/>
        <w:left w:val="none" w:sz="0" w:space="0" w:color="auto"/>
        <w:bottom w:val="none" w:sz="0" w:space="0" w:color="auto"/>
        <w:right w:val="none" w:sz="0" w:space="0" w:color="auto"/>
      </w:divBdr>
    </w:div>
    <w:div w:id="1264993610">
      <w:bodyDiv w:val="1"/>
      <w:marLeft w:val="0"/>
      <w:marRight w:val="0"/>
      <w:marTop w:val="0"/>
      <w:marBottom w:val="0"/>
      <w:divBdr>
        <w:top w:val="none" w:sz="0" w:space="0" w:color="auto"/>
        <w:left w:val="none" w:sz="0" w:space="0" w:color="auto"/>
        <w:bottom w:val="none" w:sz="0" w:space="0" w:color="auto"/>
        <w:right w:val="none" w:sz="0" w:space="0" w:color="auto"/>
      </w:divBdr>
    </w:div>
    <w:div w:id="1293251806">
      <w:bodyDiv w:val="1"/>
      <w:marLeft w:val="0"/>
      <w:marRight w:val="0"/>
      <w:marTop w:val="0"/>
      <w:marBottom w:val="0"/>
      <w:divBdr>
        <w:top w:val="none" w:sz="0" w:space="0" w:color="auto"/>
        <w:left w:val="none" w:sz="0" w:space="0" w:color="auto"/>
        <w:bottom w:val="none" w:sz="0" w:space="0" w:color="auto"/>
        <w:right w:val="none" w:sz="0" w:space="0" w:color="auto"/>
      </w:divBdr>
    </w:div>
    <w:div w:id="1309361651">
      <w:bodyDiv w:val="1"/>
      <w:marLeft w:val="0"/>
      <w:marRight w:val="0"/>
      <w:marTop w:val="0"/>
      <w:marBottom w:val="0"/>
      <w:divBdr>
        <w:top w:val="none" w:sz="0" w:space="0" w:color="auto"/>
        <w:left w:val="none" w:sz="0" w:space="0" w:color="auto"/>
        <w:bottom w:val="none" w:sz="0" w:space="0" w:color="auto"/>
        <w:right w:val="none" w:sz="0" w:space="0" w:color="auto"/>
      </w:divBdr>
    </w:div>
    <w:div w:id="1330402350">
      <w:bodyDiv w:val="1"/>
      <w:marLeft w:val="0"/>
      <w:marRight w:val="0"/>
      <w:marTop w:val="0"/>
      <w:marBottom w:val="0"/>
      <w:divBdr>
        <w:top w:val="none" w:sz="0" w:space="0" w:color="auto"/>
        <w:left w:val="none" w:sz="0" w:space="0" w:color="auto"/>
        <w:bottom w:val="none" w:sz="0" w:space="0" w:color="auto"/>
        <w:right w:val="none" w:sz="0" w:space="0" w:color="auto"/>
      </w:divBdr>
    </w:div>
    <w:div w:id="1352604026">
      <w:bodyDiv w:val="1"/>
      <w:marLeft w:val="0"/>
      <w:marRight w:val="0"/>
      <w:marTop w:val="0"/>
      <w:marBottom w:val="0"/>
      <w:divBdr>
        <w:top w:val="none" w:sz="0" w:space="0" w:color="auto"/>
        <w:left w:val="none" w:sz="0" w:space="0" w:color="auto"/>
        <w:bottom w:val="none" w:sz="0" w:space="0" w:color="auto"/>
        <w:right w:val="none" w:sz="0" w:space="0" w:color="auto"/>
      </w:divBdr>
    </w:div>
    <w:div w:id="1396927070">
      <w:bodyDiv w:val="1"/>
      <w:marLeft w:val="0"/>
      <w:marRight w:val="0"/>
      <w:marTop w:val="0"/>
      <w:marBottom w:val="0"/>
      <w:divBdr>
        <w:top w:val="none" w:sz="0" w:space="0" w:color="auto"/>
        <w:left w:val="none" w:sz="0" w:space="0" w:color="auto"/>
        <w:bottom w:val="none" w:sz="0" w:space="0" w:color="auto"/>
        <w:right w:val="none" w:sz="0" w:space="0" w:color="auto"/>
      </w:divBdr>
    </w:div>
    <w:div w:id="1400251992">
      <w:bodyDiv w:val="1"/>
      <w:marLeft w:val="0"/>
      <w:marRight w:val="0"/>
      <w:marTop w:val="0"/>
      <w:marBottom w:val="0"/>
      <w:divBdr>
        <w:top w:val="none" w:sz="0" w:space="0" w:color="auto"/>
        <w:left w:val="none" w:sz="0" w:space="0" w:color="auto"/>
        <w:bottom w:val="none" w:sz="0" w:space="0" w:color="auto"/>
        <w:right w:val="none" w:sz="0" w:space="0" w:color="auto"/>
      </w:divBdr>
    </w:div>
    <w:div w:id="1419670753">
      <w:bodyDiv w:val="1"/>
      <w:marLeft w:val="0"/>
      <w:marRight w:val="0"/>
      <w:marTop w:val="0"/>
      <w:marBottom w:val="0"/>
      <w:divBdr>
        <w:top w:val="none" w:sz="0" w:space="0" w:color="auto"/>
        <w:left w:val="none" w:sz="0" w:space="0" w:color="auto"/>
        <w:bottom w:val="none" w:sz="0" w:space="0" w:color="auto"/>
        <w:right w:val="none" w:sz="0" w:space="0" w:color="auto"/>
      </w:divBdr>
    </w:div>
    <w:div w:id="1437943607">
      <w:bodyDiv w:val="1"/>
      <w:marLeft w:val="0"/>
      <w:marRight w:val="0"/>
      <w:marTop w:val="0"/>
      <w:marBottom w:val="0"/>
      <w:divBdr>
        <w:top w:val="none" w:sz="0" w:space="0" w:color="auto"/>
        <w:left w:val="none" w:sz="0" w:space="0" w:color="auto"/>
        <w:bottom w:val="none" w:sz="0" w:space="0" w:color="auto"/>
        <w:right w:val="none" w:sz="0" w:space="0" w:color="auto"/>
      </w:divBdr>
    </w:div>
    <w:div w:id="1459102675">
      <w:bodyDiv w:val="1"/>
      <w:marLeft w:val="0"/>
      <w:marRight w:val="0"/>
      <w:marTop w:val="0"/>
      <w:marBottom w:val="0"/>
      <w:divBdr>
        <w:top w:val="none" w:sz="0" w:space="0" w:color="auto"/>
        <w:left w:val="none" w:sz="0" w:space="0" w:color="auto"/>
        <w:bottom w:val="none" w:sz="0" w:space="0" w:color="auto"/>
        <w:right w:val="none" w:sz="0" w:space="0" w:color="auto"/>
      </w:divBdr>
      <w:divsChild>
        <w:div w:id="525797565">
          <w:marLeft w:val="0"/>
          <w:marRight w:val="0"/>
          <w:marTop w:val="0"/>
          <w:marBottom w:val="0"/>
          <w:divBdr>
            <w:top w:val="none" w:sz="0" w:space="0" w:color="auto"/>
            <w:left w:val="none" w:sz="0" w:space="0" w:color="auto"/>
            <w:bottom w:val="none" w:sz="0" w:space="0" w:color="auto"/>
            <w:right w:val="none" w:sz="0" w:space="0" w:color="auto"/>
          </w:divBdr>
          <w:divsChild>
            <w:div w:id="93865699">
              <w:marLeft w:val="0"/>
              <w:marRight w:val="0"/>
              <w:marTop w:val="0"/>
              <w:marBottom w:val="0"/>
              <w:divBdr>
                <w:top w:val="none" w:sz="0" w:space="0" w:color="auto"/>
                <w:left w:val="none" w:sz="0" w:space="0" w:color="auto"/>
                <w:bottom w:val="none" w:sz="0" w:space="0" w:color="auto"/>
                <w:right w:val="none" w:sz="0" w:space="0" w:color="auto"/>
              </w:divBdr>
              <w:divsChild>
                <w:div w:id="7371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617">
      <w:bodyDiv w:val="1"/>
      <w:marLeft w:val="0"/>
      <w:marRight w:val="0"/>
      <w:marTop w:val="0"/>
      <w:marBottom w:val="0"/>
      <w:divBdr>
        <w:top w:val="none" w:sz="0" w:space="0" w:color="auto"/>
        <w:left w:val="none" w:sz="0" w:space="0" w:color="auto"/>
        <w:bottom w:val="none" w:sz="0" w:space="0" w:color="auto"/>
        <w:right w:val="none" w:sz="0" w:space="0" w:color="auto"/>
      </w:divBdr>
    </w:div>
    <w:div w:id="1530609137">
      <w:bodyDiv w:val="1"/>
      <w:marLeft w:val="0"/>
      <w:marRight w:val="0"/>
      <w:marTop w:val="0"/>
      <w:marBottom w:val="0"/>
      <w:divBdr>
        <w:top w:val="none" w:sz="0" w:space="0" w:color="auto"/>
        <w:left w:val="none" w:sz="0" w:space="0" w:color="auto"/>
        <w:bottom w:val="none" w:sz="0" w:space="0" w:color="auto"/>
        <w:right w:val="none" w:sz="0" w:space="0" w:color="auto"/>
      </w:divBdr>
    </w:div>
    <w:div w:id="1531456014">
      <w:bodyDiv w:val="1"/>
      <w:marLeft w:val="0"/>
      <w:marRight w:val="0"/>
      <w:marTop w:val="0"/>
      <w:marBottom w:val="0"/>
      <w:divBdr>
        <w:top w:val="none" w:sz="0" w:space="0" w:color="auto"/>
        <w:left w:val="none" w:sz="0" w:space="0" w:color="auto"/>
        <w:bottom w:val="none" w:sz="0" w:space="0" w:color="auto"/>
        <w:right w:val="none" w:sz="0" w:space="0" w:color="auto"/>
      </w:divBdr>
    </w:div>
    <w:div w:id="1549488624">
      <w:bodyDiv w:val="1"/>
      <w:marLeft w:val="0"/>
      <w:marRight w:val="0"/>
      <w:marTop w:val="0"/>
      <w:marBottom w:val="0"/>
      <w:divBdr>
        <w:top w:val="none" w:sz="0" w:space="0" w:color="auto"/>
        <w:left w:val="none" w:sz="0" w:space="0" w:color="auto"/>
        <w:bottom w:val="none" w:sz="0" w:space="0" w:color="auto"/>
        <w:right w:val="none" w:sz="0" w:space="0" w:color="auto"/>
      </w:divBdr>
    </w:div>
    <w:div w:id="1603151455">
      <w:bodyDiv w:val="1"/>
      <w:marLeft w:val="0"/>
      <w:marRight w:val="0"/>
      <w:marTop w:val="0"/>
      <w:marBottom w:val="0"/>
      <w:divBdr>
        <w:top w:val="none" w:sz="0" w:space="0" w:color="auto"/>
        <w:left w:val="none" w:sz="0" w:space="0" w:color="auto"/>
        <w:bottom w:val="none" w:sz="0" w:space="0" w:color="auto"/>
        <w:right w:val="none" w:sz="0" w:space="0" w:color="auto"/>
      </w:divBdr>
    </w:div>
    <w:div w:id="1610048113">
      <w:bodyDiv w:val="1"/>
      <w:marLeft w:val="0"/>
      <w:marRight w:val="0"/>
      <w:marTop w:val="0"/>
      <w:marBottom w:val="0"/>
      <w:divBdr>
        <w:top w:val="none" w:sz="0" w:space="0" w:color="auto"/>
        <w:left w:val="none" w:sz="0" w:space="0" w:color="auto"/>
        <w:bottom w:val="none" w:sz="0" w:space="0" w:color="auto"/>
        <w:right w:val="none" w:sz="0" w:space="0" w:color="auto"/>
      </w:divBdr>
    </w:div>
    <w:div w:id="1611162874">
      <w:bodyDiv w:val="1"/>
      <w:marLeft w:val="0"/>
      <w:marRight w:val="0"/>
      <w:marTop w:val="0"/>
      <w:marBottom w:val="0"/>
      <w:divBdr>
        <w:top w:val="none" w:sz="0" w:space="0" w:color="auto"/>
        <w:left w:val="none" w:sz="0" w:space="0" w:color="auto"/>
        <w:bottom w:val="none" w:sz="0" w:space="0" w:color="auto"/>
        <w:right w:val="none" w:sz="0" w:space="0" w:color="auto"/>
      </w:divBdr>
    </w:div>
    <w:div w:id="1612665569">
      <w:bodyDiv w:val="1"/>
      <w:marLeft w:val="0"/>
      <w:marRight w:val="0"/>
      <w:marTop w:val="0"/>
      <w:marBottom w:val="0"/>
      <w:divBdr>
        <w:top w:val="none" w:sz="0" w:space="0" w:color="auto"/>
        <w:left w:val="none" w:sz="0" w:space="0" w:color="auto"/>
        <w:bottom w:val="none" w:sz="0" w:space="0" w:color="auto"/>
        <w:right w:val="none" w:sz="0" w:space="0" w:color="auto"/>
      </w:divBdr>
    </w:div>
    <w:div w:id="1652060583">
      <w:bodyDiv w:val="1"/>
      <w:marLeft w:val="0"/>
      <w:marRight w:val="0"/>
      <w:marTop w:val="0"/>
      <w:marBottom w:val="0"/>
      <w:divBdr>
        <w:top w:val="none" w:sz="0" w:space="0" w:color="auto"/>
        <w:left w:val="none" w:sz="0" w:space="0" w:color="auto"/>
        <w:bottom w:val="none" w:sz="0" w:space="0" w:color="auto"/>
        <w:right w:val="none" w:sz="0" w:space="0" w:color="auto"/>
      </w:divBdr>
    </w:div>
    <w:div w:id="1685017897">
      <w:bodyDiv w:val="1"/>
      <w:marLeft w:val="0"/>
      <w:marRight w:val="0"/>
      <w:marTop w:val="0"/>
      <w:marBottom w:val="0"/>
      <w:divBdr>
        <w:top w:val="none" w:sz="0" w:space="0" w:color="auto"/>
        <w:left w:val="none" w:sz="0" w:space="0" w:color="auto"/>
        <w:bottom w:val="none" w:sz="0" w:space="0" w:color="auto"/>
        <w:right w:val="none" w:sz="0" w:space="0" w:color="auto"/>
      </w:divBdr>
    </w:div>
    <w:div w:id="1686858307">
      <w:bodyDiv w:val="1"/>
      <w:marLeft w:val="0"/>
      <w:marRight w:val="0"/>
      <w:marTop w:val="0"/>
      <w:marBottom w:val="0"/>
      <w:divBdr>
        <w:top w:val="none" w:sz="0" w:space="0" w:color="auto"/>
        <w:left w:val="none" w:sz="0" w:space="0" w:color="auto"/>
        <w:bottom w:val="none" w:sz="0" w:space="0" w:color="auto"/>
        <w:right w:val="none" w:sz="0" w:space="0" w:color="auto"/>
      </w:divBdr>
    </w:div>
    <w:div w:id="1709523231">
      <w:bodyDiv w:val="1"/>
      <w:marLeft w:val="0"/>
      <w:marRight w:val="0"/>
      <w:marTop w:val="0"/>
      <w:marBottom w:val="0"/>
      <w:divBdr>
        <w:top w:val="none" w:sz="0" w:space="0" w:color="auto"/>
        <w:left w:val="none" w:sz="0" w:space="0" w:color="auto"/>
        <w:bottom w:val="none" w:sz="0" w:space="0" w:color="auto"/>
        <w:right w:val="none" w:sz="0" w:space="0" w:color="auto"/>
      </w:divBdr>
    </w:div>
    <w:div w:id="1715344482">
      <w:bodyDiv w:val="1"/>
      <w:marLeft w:val="0"/>
      <w:marRight w:val="0"/>
      <w:marTop w:val="0"/>
      <w:marBottom w:val="0"/>
      <w:divBdr>
        <w:top w:val="none" w:sz="0" w:space="0" w:color="auto"/>
        <w:left w:val="none" w:sz="0" w:space="0" w:color="auto"/>
        <w:bottom w:val="none" w:sz="0" w:space="0" w:color="auto"/>
        <w:right w:val="none" w:sz="0" w:space="0" w:color="auto"/>
      </w:divBdr>
    </w:div>
    <w:div w:id="1759254783">
      <w:bodyDiv w:val="1"/>
      <w:marLeft w:val="0"/>
      <w:marRight w:val="0"/>
      <w:marTop w:val="0"/>
      <w:marBottom w:val="0"/>
      <w:divBdr>
        <w:top w:val="none" w:sz="0" w:space="0" w:color="auto"/>
        <w:left w:val="none" w:sz="0" w:space="0" w:color="auto"/>
        <w:bottom w:val="none" w:sz="0" w:space="0" w:color="auto"/>
        <w:right w:val="none" w:sz="0" w:space="0" w:color="auto"/>
      </w:divBdr>
    </w:div>
    <w:div w:id="1764497719">
      <w:bodyDiv w:val="1"/>
      <w:marLeft w:val="0"/>
      <w:marRight w:val="0"/>
      <w:marTop w:val="0"/>
      <w:marBottom w:val="0"/>
      <w:divBdr>
        <w:top w:val="none" w:sz="0" w:space="0" w:color="auto"/>
        <w:left w:val="none" w:sz="0" w:space="0" w:color="auto"/>
        <w:bottom w:val="none" w:sz="0" w:space="0" w:color="auto"/>
        <w:right w:val="none" w:sz="0" w:space="0" w:color="auto"/>
      </w:divBdr>
    </w:div>
    <w:div w:id="1815414313">
      <w:bodyDiv w:val="1"/>
      <w:marLeft w:val="0"/>
      <w:marRight w:val="0"/>
      <w:marTop w:val="0"/>
      <w:marBottom w:val="0"/>
      <w:divBdr>
        <w:top w:val="none" w:sz="0" w:space="0" w:color="auto"/>
        <w:left w:val="none" w:sz="0" w:space="0" w:color="auto"/>
        <w:bottom w:val="none" w:sz="0" w:space="0" w:color="auto"/>
        <w:right w:val="none" w:sz="0" w:space="0" w:color="auto"/>
      </w:divBdr>
    </w:div>
    <w:div w:id="1883053583">
      <w:bodyDiv w:val="1"/>
      <w:marLeft w:val="0"/>
      <w:marRight w:val="0"/>
      <w:marTop w:val="0"/>
      <w:marBottom w:val="0"/>
      <w:divBdr>
        <w:top w:val="none" w:sz="0" w:space="0" w:color="auto"/>
        <w:left w:val="none" w:sz="0" w:space="0" w:color="auto"/>
        <w:bottom w:val="none" w:sz="0" w:space="0" w:color="auto"/>
        <w:right w:val="none" w:sz="0" w:space="0" w:color="auto"/>
      </w:divBdr>
    </w:div>
    <w:div w:id="1886064919">
      <w:bodyDiv w:val="1"/>
      <w:marLeft w:val="0"/>
      <w:marRight w:val="0"/>
      <w:marTop w:val="0"/>
      <w:marBottom w:val="0"/>
      <w:divBdr>
        <w:top w:val="none" w:sz="0" w:space="0" w:color="auto"/>
        <w:left w:val="none" w:sz="0" w:space="0" w:color="auto"/>
        <w:bottom w:val="none" w:sz="0" w:space="0" w:color="auto"/>
        <w:right w:val="none" w:sz="0" w:space="0" w:color="auto"/>
      </w:divBdr>
    </w:div>
    <w:div w:id="1908958063">
      <w:bodyDiv w:val="1"/>
      <w:marLeft w:val="0"/>
      <w:marRight w:val="0"/>
      <w:marTop w:val="0"/>
      <w:marBottom w:val="0"/>
      <w:divBdr>
        <w:top w:val="none" w:sz="0" w:space="0" w:color="auto"/>
        <w:left w:val="none" w:sz="0" w:space="0" w:color="auto"/>
        <w:bottom w:val="none" w:sz="0" w:space="0" w:color="auto"/>
        <w:right w:val="none" w:sz="0" w:space="0" w:color="auto"/>
      </w:divBdr>
    </w:div>
    <w:div w:id="1917084110">
      <w:bodyDiv w:val="1"/>
      <w:marLeft w:val="0"/>
      <w:marRight w:val="0"/>
      <w:marTop w:val="0"/>
      <w:marBottom w:val="0"/>
      <w:divBdr>
        <w:top w:val="none" w:sz="0" w:space="0" w:color="auto"/>
        <w:left w:val="none" w:sz="0" w:space="0" w:color="auto"/>
        <w:bottom w:val="none" w:sz="0" w:space="0" w:color="auto"/>
        <w:right w:val="none" w:sz="0" w:space="0" w:color="auto"/>
      </w:divBdr>
    </w:div>
    <w:div w:id="1940597086">
      <w:bodyDiv w:val="1"/>
      <w:marLeft w:val="0"/>
      <w:marRight w:val="0"/>
      <w:marTop w:val="0"/>
      <w:marBottom w:val="0"/>
      <w:divBdr>
        <w:top w:val="none" w:sz="0" w:space="0" w:color="auto"/>
        <w:left w:val="none" w:sz="0" w:space="0" w:color="auto"/>
        <w:bottom w:val="none" w:sz="0" w:space="0" w:color="auto"/>
        <w:right w:val="none" w:sz="0" w:space="0" w:color="auto"/>
      </w:divBdr>
    </w:div>
    <w:div w:id="2015037370">
      <w:bodyDiv w:val="1"/>
      <w:marLeft w:val="0"/>
      <w:marRight w:val="0"/>
      <w:marTop w:val="0"/>
      <w:marBottom w:val="0"/>
      <w:divBdr>
        <w:top w:val="none" w:sz="0" w:space="0" w:color="auto"/>
        <w:left w:val="none" w:sz="0" w:space="0" w:color="auto"/>
        <w:bottom w:val="none" w:sz="0" w:space="0" w:color="auto"/>
        <w:right w:val="none" w:sz="0" w:space="0" w:color="auto"/>
      </w:divBdr>
    </w:div>
    <w:div w:id="2029595752">
      <w:bodyDiv w:val="1"/>
      <w:marLeft w:val="0"/>
      <w:marRight w:val="0"/>
      <w:marTop w:val="0"/>
      <w:marBottom w:val="0"/>
      <w:divBdr>
        <w:top w:val="none" w:sz="0" w:space="0" w:color="auto"/>
        <w:left w:val="none" w:sz="0" w:space="0" w:color="auto"/>
        <w:bottom w:val="none" w:sz="0" w:space="0" w:color="auto"/>
        <w:right w:val="none" w:sz="0" w:space="0" w:color="auto"/>
      </w:divBdr>
    </w:div>
    <w:div w:id="2093502148">
      <w:bodyDiv w:val="1"/>
      <w:marLeft w:val="0"/>
      <w:marRight w:val="0"/>
      <w:marTop w:val="0"/>
      <w:marBottom w:val="0"/>
      <w:divBdr>
        <w:top w:val="none" w:sz="0" w:space="0" w:color="auto"/>
        <w:left w:val="none" w:sz="0" w:space="0" w:color="auto"/>
        <w:bottom w:val="none" w:sz="0" w:space="0" w:color="auto"/>
        <w:right w:val="none" w:sz="0" w:space="0" w:color="auto"/>
      </w:divBdr>
    </w:div>
    <w:div w:id="21398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0E69-3D78-46BE-A7FC-815F39D1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4191</Words>
  <Characters>23893</Characters>
  <Application>Microsoft Office Word</Application>
  <DocSecurity>0</DocSecurity>
  <Lines>199</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Грабарчук Галина Миколаївна</dc:creator>
  <cp:keywords/>
  <dc:description/>
  <cp:lastModifiedBy>Hp</cp:lastModifiedBy>
  <cp:revision>2</cp:revision>
  <cp:lastPrinted>2023-11-01T17:56:00Z</cp:lastPrinted>
  <dcterms:created xsi:type="dcterms:W3CDTF">2023-11-03T08:18:00Z</dcterms:created>
  <dcterms:modified xsi:type="dcterms:W3CDTF">2023-11-03T08:18:00Z</dcterms:modified>
</cp:coreProperties>
</file>